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odyText3"/>
        <w:jc w:val="center"/>
        <w:rPr>
          <w:b/>
          <w:b/>
          <w:color w:val="auto"/>
        </w:rPr>
      </w:pPr>
      <w:r>
        <w:rPr>
          <w:b/>
          <w:color w:val="auto"/>
        </w:rPr>
        <w:t>ДОГОВОР ПОДРЯДА №______</w:t>
      </w:r>
    </w:p>
    <w:p>
      <w:pPr>
        <w:pStyle w:val="BodyText3"/>
        <w:jc w:val="center"/>
        <w:rPr>
          <w:b/>
          <w:b/>
          <w:color w:val="auto"/>
        </w:rPr>
      </w:pPr>
      <w:r>
        <w:rPr>
          <w:b/>
          <w:color w:val="auto"/>
        </w:rPr>
      </w:r>
    </w:p>
    <w:p>
      <w:pPr>
        <w:pStyle w:val="BodyText3"/>
        <w:rPr>
          <w:color w:val="auto"/>
        </w:rPr>
      </w:pPr>
      <w:r>
        <w:rPr>
          <w:color w:val="auto"/>
        </w:rPr>
        <w:t>пос. Серебряный Бор</w:t>
        <w:tab/>
        <w:tab/>
        <w:t xml:space="preserve">                                                           «___»___________202_ г.</w:t>
      </w:r>
    </w:p>
    <w:p>
      <w:pPr>
        <w:pStyle w:val="BodyText3"/>
        <w:rPr>
          <w:color w:val="auto"/>
        </w:rPr>
      </w:pPr>
      <w:r>
        <w:rPr>
          <w:color w:val="auto"/>
        </w:rPr>
      </w:r>
    </w:p>
    <w:p>
      <w:pPr>
        <w:pStyle w:val="BodyText3"/>
        <w:ind w:firstLine="708"/>
        <w:rPr>
          <w:color w:val="auto"/>
        </w:rPr>
      </w:pPr>
      <w:r>
        <w:rPr>
          <w:color w:val="auto"/>
        </w:rPr>
        <w:t>Акционерное общество "Дальневосточная генерирующая компания" (АО «ДГК»), именуемое в  дальнейшем "Заказчик", в лице_____________________, действующего на основании________________________, с одной стороны, и _____________________________________________, именуемое в  дальнейшем "Подрядчик", в лице_______________________________________________, действующего на основании____________________,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и на основании Протокола подведения итогов закупки №_____ от «___» ___________ 202_ г., заключили настоящий договор (далее – «Договор») о нижеследующем:</w:t>
      </w:r>
    </w:p>
    <w:p>
      <w:pPr>
        <w:pStyle w:val="BodyText3"/>
        <w:ind w:firstLine="708"/>
        <w:rPr>
          <w:color w:val="auto"/>
        </w:rPr>
      </w:pPr>
      <w:r>
        <w:rPr>
          <w:color w:val="auto"/>
        </w:rPr>
      </w:r>
    </w:p>
    <w:p>
      <w:pPr>
        <w:pStyle w:val="BodyText3"/>
        <w:jc w:val="center"/>
        <w:rPr>
          <w:b/>
          <w:b/>
          <w:bCs/>
          <w:color w:val="auto"/>
        </w:rPr>
      </w:pPr>
      <w:r>
        <w:rPr>
          <w:b/>
          <w:bCs/>
          <w:color w:val="auto"/>
        </w:rPr>
        <w:t>Термины и определения</w:t>
      </w:r>
    </w:p>
    <w:p>
      <w:pPr>
        <w:pStyle w:val="BodyText3"/>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pPr>
      <w:r>
        <w:rPr>
          <w:b/>
          <w:lang w:eastAsia="en-US"/>
        </w:rPr>
        <w:t xml:space="preserve"> </w:t>
      </w:r>
      <w:r>
        <w:rPr>
          <w:b/>
          <w:lang w:eastAsia="en-US"/>
        </w:rPr>
        <w:t xml:space="preserve">«Акт КС-2», </w:t>
      </w:r>
      <w:bookmarkStart w:id="0" w:name="_GoBack"/>
      <w:bookmarkEnd w:id="0"/>
      <w:r>
        <w:rPr>
          <w:b/>
          <w:lang w:eastAsia="en-US"/>
        </w:rPr>
        <w:t xml:space="preserve">«Справка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pPr>
      <w:r>
        <w:rPr>
          <w:b/>
          <w:lang w:eastAsia="en-US"/>
        </w:rPr>
        <w:t xml:space="preserve">«Акт КС-11» «Акт КС-14» – </w:t>
      </w:r>
      <w:r>
        <w:rPr>
          <w:lang w:eastAsia="en-US"/>
        </w:rPr>
        <w:t>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 утвержденным постановлением 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sz w:val="24"/>
          <w:szCs w:val="24"/>
          <w:lang w:eastAsia="en-US"/>
        </w:rPr>
        <w:t xml:space="preserve"> </w:t>
      </w:r>
      <w:r>
        <w:rPr>
          <w:b/>
          <w:sz w:val="24"/>
          <w:szCs w:val="24"/>
          <w:lang w:eastAsia="en-US"/>
        </w:rPr>
        <w:t>«Акт ОС-3» –</w:t>
      </w:r>
      <w:r>
        <w:rPr>
          <w:sz w:val="24"/>
          <w:szCs w:val="24"/>
          <w:lang w:eastAsia="en-US"/>
        </w:rPr>
        <w:t xml:space="preserve">  документ, оформляемый по унифицированной форме № ОС-3 «Акт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p>
    <w:p>
      <w:pPr>
        <w:pStyle w:val="ListParagraph"/>
        <w:ind w:left="0" w:firstLine="708"/>
        <w:jc w:val="both"/>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этапов Работ (кроме проектных работ), предусмотренных Договором. </w:t>
      </w:r>
    </w:p>
    <w:p>
      <w:pPr>
        <w:pStyle w:val="ListParagraph"/>
        <w:ind w:left="0" w:firstLine="708"/>
        <w:jc w:val="both"/>
        <w:rPr>
          <w:b/>
          <w:b/>
          <w:bC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r>
        <w:rPr>
          <w:b/>
          <w:lang w:eastAsia="en-US"/>
        </w:rPr>
        <w:t xml:space="preserve">  </w:t>
      </w:r>
    </w:p>
    <w:p>
      <w:pPr>
        <w:pStyle w:val="ListParagraph"/>
        <w:widowControl w:val="false"/>
        <w:shd w:val="clear" w:color="auto" w:fill="FFFFFF"/>
        <w:tabs>
          <w:tab w:val="clear" w:pos="709"/>
          <w:tab w:val="left" w:pos="567" w:leader="none"/>
          <w:tab w:val="left" w:pos="1134" w:leader="none"/>
        </w:tabs>
        <w:ind w:left="0" w:firstLine="709"/>
        <w:jc w:val="both"/>
        <w:rPr/>
      </w:pPr>
      <w:r>
        <w:rPr>
          <w:b/>
          <w:lang w:eastAsia="en-US"/>
        </w:rPr>
        <w:t>«Банковская гарантия»</w:t>
      </w:r>
      <w:r>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№758), в той мере, в какой указанные правила не противоречат законодательству Российской Федерации и условиям настоящего Договора.</w:t>
      </w:r>
    </w:p>
    <w:p>
      <w:pPr>
        <w:pStyle w:val="ListParagraph"/>
        <w:widowControl w:val="false"/>
        <w:shd w:val="clear" w:color="auto" w:fill="FFFFFF"/>
        <w:tabs>
          <w:tab w:val="clear" w:pos="709"/>
          <w:tab w:val="left" w:pos="567" w:leader="none"/>
          <w:tab w:val="left" w:pos="1134" w:leader="none"/>
        </w:tabs>
        <w:ind w:left="0" w:firstLine="708"/>
        <w:jc w:val="both"/>
        <w:rPr/>
      </w:pPr>
      <w:r>
        <w:rPr>
          <w:b/>
          <w:lang w:eastAsia="en-US"/>
        </w:rPr>
        <w:t>«Гарантийный срок»</w:t>
      </w:r>
      <w:r>
        <w:rPr/>
        <w:t xml:space="preserve"> </w:t>
      </w:r>
      <w:r>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ind w:left="0" w:firstLine="708"/>
        <w:jc w:val="both"/>
        <w:rPr/>
      </w:pPr>
      <w:r>
        <w:rPr>
          <w:b/>
          <w:lang w:eastAsia="en-US"/>
        </w:rPr>
        <w:t>«Гарантированные показатели»</w:t>
      </w:r>
      <w:r>
        <w:rP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9"/>
          <w:tab w:val="left" w:pos="567" w:leader="none"/>
          <w:tab w:val="left" w:pos="1134" w:leader="none"/>
        </w:tabs>
        <w:ind w:left="0" w:firstLine="708"/>
        <w:jc w:val="both"/>
        <w:rPr/>
      </w:pPr>
      <w:r>
        <w:rPr>
          <w:b/>
          <w:lang w:eastAsia="en-US"/>
        </w:rPr>
        <w:t xml:space="preserve"> </w:t>
      </w:r>
      <w:r>
        <w:rPr>
          <w:b/>
          <w:lang w:eastAsia="en-US"/>
        </w:rPr>
        <w:t>«Договор»</w:t>
      </w:r>
      <w:r>
        <w:rPr>
          <w:lang w:eastAsia="en-US"/>
        </w:rPr>
        <w:t xml:space="preserve"> – настоящий договор, подписанный Заказчиком и Подрядчиком, включая</w:t>
      </w:r>
    </w:p>
    <w:p>
      <w:pPr>
        <w:pStyle w:val="ListParagraph"/>
        <w:widowControl w:val="false"/>
        <w:shd w:val="clear" w:color="auto" w:fill="FFFFFF"/>
        <w:tabs>
          <w:tab w:val="clear" w:pos="709"/>
          <w:tab w:val="left" w:pos="567" w:leader="none"/>
          <w:tab w:val="left" w:pos="1134" w:leader="none"/>
        </w:tabs>
        <w:ind w:left="0" w:hanging="0"/>
        <w:jc w:val="both"/>
        <w:rPr/>
      </w:pPr>
      <w:r>
        <w:rPr>
          <w:lang w:eastAsia="en-US"/>
        </w:rPr>
        <w:t xml:space="preserve"> </w:t>
      </w:r>
      <w:r>
        <w:rPr>
          <w:lang w:eastAsia="en-US"/>
        </w:rPr>
        <w:t>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ind w:left="0" w:firstLine="708"/>
        <w:jc w:val="both"/>
        <w:rPr/>
      </w:pPr>
      <w:r>
        <w:rPr>
          <w:b/>
          <w:lang w:eastAsia="en-US"/>
        </w:rPr>
        <w:t>«Исполнительн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Объекта, а также фактическое исполнение проектных решений в процессе выполнения Работ по Договору.</w:t>
      </w:r>
    </w:p>
    <w:p>
      <w:pPr>
        <w:pStyle w:val="ListParagraph"/>
        <w:widowControl w:val="false"/>
        <w:shd w:val="clear" w:color="auto" w:fill="FFFFFF"/>
        <w:tabs>
          <w:tab w:val="clear" w:pos="709"/>
          <w:tab w:val="left" w:pos="567" w:leader="none"/>
          <w:tab w:val="left" w:pos="1134" w:leader="none"/>
        </w:tabs>
        <w:ind w:left="0" w:firstLine="709"/>
        <w:jc w:val="both"/>
        <w:rPr/>
      </w:pPr>
      <w:r>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w:t>
      </w:r>
      <w:r>
        <w:rPr>
          <w:color w:val="000000" w:themeColor="text1"/>
          <w:highlight w:val="white"/>
          <w:lang w:eastAsia="en-US"/>
        </w:rPr>
        <w:t>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color w:val="000000" w:themeColor="text1"/>
          <w:highlight w:val="white"/>
          <w:lang w:eastAsia="en-US"/>
        </w:rPr>
        <w:t>«Обеспечительный платеж»</w:t>
      </w:r>
      <w:r>
        <w:rPr>
          <w:color w:val="000000" w:themeColor="text1"/>
          <w:highlight w:val="white"/>
          <w:lang w:eastAsia="en-US"/>
        </w:rPr>
        <w:t xml:space="preserve"> – платеж,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color w:val="000000" w:themeColor="text1"/>
          <w:highlight w:val="white"/>
          <w:lang w:eastAsia="en-US"/>
        </w:rPr>
        <w:t>«Объект»</w:t>
      </w:r>
      <w:r>
        <w:rPr>
          <w:color w:val="000000" w:themeColor="text1"/>
          <w:highlight w:val="white"/>
          <w:lang w:eastAsia="en-US"/>
        </w:rPr>
        <w:t xml:space="preserve"> – </w:t>
      </w:r>
      <w:r>
        <w:rPr/>
        <w:t>модульная компрессорная станция сжатого воздуха</w:t>
      </w:r>
      <w:r>
        <w:rPr>
          <w:color w:val="000000" w:themeColor="text1"/>
          <w:highlight w:val="white"/>
          <w:lang w:eastAsia="en-US"/>
        </w:rPr>
        <w:t xml:space="preserve"> на Нерюнгринской ГРЭС.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color w:val="000000" w:themeColor="text1"/>
          <w:highlight w:val="white"/>
          <w:lang w:eastAsia="en-US"/>
        </w:rPr>
        <w:t xml:space="preserve">«Отказ от Договора» </w:t>
      </w:r>
      <w:r>
        <w:rPr>
          <w:color w:val="000000" w:themeColor="text1"/>
          <w:highlight w:val="white"/>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709"/>
          <w:tab w:val="left" w:pos="567" w:leader="none"/>
        </w:tabs>
        <w:spacing w:before="0" w:after="0"/>
        <w:ind w:firstLine="708"/>
        <w:jc w:val="both"/>
        <w:rPr>
          <w:b w:val="false"/>
          <w:b w:val="false"/>
          <w:color w:val="000000" w:themeColor="text1"/>
          <w:sz w:val="24"/>
          <w:szCs w:val="24"/>
          <w:highlight w:val="white"/>
        </w:rPr>
      </w:pPr>
      <w:r>
        <w:rPr>
          <w:color w:val="000000" w:themeColor="text1"/>
          <w:sz w:val="24"/>
          <w:szCs w:val="24"/>
          <w:highlight w:val="white"/>
          <w:lang w:eastAsia="en-US"/>
        </w:rPr>
        <w:t>«Применимое право»</w:t>
      </w:r>
      <w:r>
        <w:rPr>
          <w:b w:val="false"/>
          <w:color w:val="000000" w:themeColor="text1"/>
          <w:sz w:val="24"/>
          <w:szCs w:val="24"/>
          <w:highlight w:val="white"/>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color w:val="000000" w:themeColor="text1"/>
          <w:highlight w:val="white"/>
          <w:lang w:eastAsia="en-US"/>
        </w:rPr>
        <w:t>«Приемо-сдаточная документация»</w:t>
      </w:r>
      <w:r>
        <w:rPr>
          <w:color w:val="000000" w:themeColor="text1"/>
          <w:highlight w:val="white"/>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color w:val="000000" w:themeColor="text1"/>
          <w:highlight w:val="white"/>
          <w:lang w:eastAsia="en-US"/>
        </w:rPr>
        <w:t>К приемо-сдаточной документации относятся:</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 xml:space="preserve">Пофамильные списки персонала, задействованного при выполнении Работ, а также копии всех документов, подтверждающих его квалификацию. </w:t>
      </w:r>
    </w:p>
    <w:p>
      <w:pPr>
        <w:pStyle w:val="ListParagraph"/>
        <w:widowControl w:val="false"/>
        <w:shd w:val="clear" w:color="auto" w:fill="FFFFFF"/>
        <w:tabs>
          <w:tab w:val="clear" w:pos="709"/>
          <w:tab w:val="left" w:pos="567" w:leader="none"/>
          <w:tab w:val="left" w:pos="1134" w:leader="none"/>
        </w:tabs>
        <w:ind w:left="0" w:firstLine="720"/>
        <w:jc w:val="both"/>
        <w:rPr>
          <w:color w:val="000000" w:themeColor="text1"/>
          <w:highlight w:val="white"/>
        </w:rPr>
      </w:pPr>
      <w:r>
        <w:rPr>
          <w:color w:val="000000" w:themeColor="text1"/>
          <w:highlight w:val="white"/>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9"/>
          <w:tab w:val="left" w:pos="567" w:leader="none"/>
        </w:tabs>
        <w:spacing w:before="0" w:after="0"/>
        <w:ind w:firstLine="708"/>
        <w:jc w:val="both"/>
        <w:rPr>
          <w:b w:val="false"/>
          <w:b w:val="false"/>
          <w:sz w:val="24"/>
          <w:szCs w:val="24"/>
          <w:lang w:eastAsia="en-US"/>
        </w:rPr>
      </w:pPr>
      <w:r>
        <w:rPr>
          <w:sz w:val="24"/>
          <w:szCs w:val="24"/>
          <w:lang w:eastAsia="en-US"/>
        </w:rPr>
        <w:t>«Проектная документация»</w:t>
      </w:r>
      <w:r>
        <w:rPr>
          <w:b w:val="false"/>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clear" w:pos="709"/>
          <w:tab w:val="left" w:pos="567" w:leader="none"/>
        </w:tabs>
        <w:spacing w:before="0" w:after="0"/>
        <w:ind w:firstLine="708"/>
        <w:jc w:val="both"/>
        <w:rPr>
          <w:b w:val="false"/>
          <w:b w:val="false"/>
          <w:sz w:val="24"/>
          <w:szCs w:val="24"/>
          <w:lang w:eastAsia="en-US"/>
        </w:rPr>
      </w:pPr>
      <w:r>
        <w:rPr>
          <w:b w:val="false"/>
          <w:sz w:val="24"/>
          <w:szCs w:val="24"/>
          <w:lang w:eastAsia="en-US"/>
        </w:rPr>
        <w:t xml:space="preserve">Состав разделов Проектной документации определяется Применимым правом. </w:t>
      </w:r>
    </w:p>
    <w:p>
      <w:pPr>
        <w:pStyle w:val="3"/>
        <w:keepNext w:val="false"/>
        <w:widowControl w:val="false"/>
        <w:tabs>
          <w:tab w:val="clear" w:pos="709"/>
          <w:tab w:val="left" w:pos="567" w:leader="none"/>
        </w:tabs>
        <w:spacing w:before="0" w:after="0"/>
        <w:ind w:firstLine="708"/>
        <w:jc w:val="both"/>
        <w:rPr>
          <w:b w:val="false"/>
          <w:b w:val="false"/>
          <w:sz w:val="24"/>
          <w:szCs w:val="24"/>
          <w:lang w:eastAsia="en-US"/>
        </w:rPr>
      </w:pPr>
      <w:r>
        <w:rPr>
          <w:b w:val="false"/>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3"/>
        <w:keepNext w:val="false"/>
        <w:widowControl w:val="false"/>
        <w:shd w:val="clear" w:color="auto" w:fill="FFFFFF"/>
        <w:tabs>
          <w:tab w:val="clear" w:pos="709"/>
          <w:tab w:val="left" w:pos="567" w:leader="none"/>
        </w:tabs>
        <w:spacing w:before="0" w:after="0"/>
        <w:ind w:firstLine="708"/>
        <w:jc w:val="both"/>
        <w:rPr>
          <w:color w:val="000000" w:themeColor="text1"/>
        </w:rPr>
      </w:pPr>
      <w:r>
        <w:rPr>
          <w:color w:val="000000" w:themeColor="text1"/>
          <w:sz w:val="24"/>
          <w:szCs w:val="24"/>
          <w:lang w:eastAsia="en-US"/>
        </w:rPr>
        <w:t>«Проектные работы»</w:t>
      </w:r>
      <w:r>
        <w:rPr>
          <w:b w:val="false"/>
          <w:color w:val="000000" w:themeColor="text1"/>
          <w:sz w:val="24"/>
          <w:szCs w:val="24"/>
          <w:lang w:eastAsia="en-US"/>
        </w:rPr>
        <w:t xml:space="preserve"> – вид Работ по Договору, выполняемый в целях разработки / Проектной документации, подлежащей согласованию и приемке Заказчиком.</w:t>
      </w:r>
    </w:p>
    <w:p>
      <w:pPr>
        <w:pStyle w:val="3"/>
        <w:keepNext w:val="false"/>
        <w:widowControl w:val="false"/>
        <w:tabs>
          <w:tab w:val="clear" w:pos="709"/>
          <w:tab w:val="left" w:pos="567" w:leader="none"/>
        </w:tabs>
        <w:spacing w:before="0" w:after="0"/>
        <w:ind w:firstLine="708"/>
        <w:jc w:val="both"/>
        <w:rPr>
          <w:color w:val="000000" w:themeColor="text1"/>
          <w:sz w:val="24"/>
          <w:szCs w:val="24"/>
          <w:highlight w:val="white"/>
        </w:rPr>
      </w:pPr>
      <w:r>
        <w:rPr>
          <w:color w:val="000000" w:themeColor="text1"/>
          <w:sz w:val="24"/>
          <w:szCs w:val="24"/>
          <w:highlight w:val="white"/>
          <w:lang w:eastAsia="en-US"/>
        </w:rPr>
        <w:t>«Работы»</w:t>
      </w:r>
      <w:r>
        <w:rPr>
          <w:b w:val="false"/>
          <w:color w:val="000000" w:themeColor="text1"/>
          <w:sz w:val="24"/>
          <w:szCs w:val="24"/>
          <w:highlight w:val="white"/>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color w:val="000000" w:themeColor="text1"/>
          <w:sz w:val="24"/>
          <w:szCs w:val="24"/>
          <w:highlight w:val="white"/>
        </w:rPr>
        <w:t xml:space="preserve"> </w:t>
      </w:r>
      <w:r>
        <w:rPr>
          <w:b w:val="false"/>
          <w:color w:val="000000" w:themeColor="text1"/>
          <w:sz w:val="24"/>
          <w:szCs w:val="24"/>
          <w:highlight w:val="white"/>
        </w:rPr>
        <w:t>выявленных</w:t>
      </w:r>
      <w:r>
        <w:rPr>
          <w:color w:val="000000" w:themeColor="text1"/>
          <w:sz w:val="24"/>
          <w:szCs w:val="24"/>
          <w:highlight w:val="white"/>
        </w:rPr>
        <w:t xml:space="preserve"> </w:t>
      </w:r>
      <w:r>
        <w:rPr>
          <w:b w:val="false"/>
          <w:color w:val="000000" w:themeColor="text1"/>
          <w:sz w:val="24"/>
          <w:szCs w:val="24"/>
          <w:highlight w:val="white"/>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color w:val="000000" w:themeColor="text1"/>
          <w:sz w:val="24"/>
          <w:szCs w:val="24"/>
          <w:highlight w:val="white"/>
        </w:rPr>
        <w:t xml:space="preserve"> </w:t>
      </w:r>
    </w:p>
    <w:p>
      <w:pPr>
        <w:pStyle w:val="Normal"/>
        <w:widowControl w:val="false"/>
        <w:tabs>
          <w:tab w:val="clear" w:pos="709"/>
          <w:tab w:val="left" w:pos="567" w:leader="none"/>
        </w:tabs>
        <w:spacing w:lineRule="auto" w:line="240"/>
        <w:ind w:firstLine="708"/>
        <w:rPr>
          <w:color w:val="000000" w:themeColor="text1"/>
          <w:sz w:val="24"/>
          <w:szCs w:val="24"/>
          <w:highlight w:val="white"/>
        </w:rPr>
      </w:pPr>
      <w:r>
        <w:rPr>
          <w:color w:val="000000" w:themeColor="text1"/>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color w:val="000000" w:themeColor="text1"/>
          <w:sz w:val="24"/>
          <w:szCs w:val="24"/>
          <w:highlight w:val="white"/>
        </w:rPr>
      </w:pPr>
      <w:r>
        <w:rPr>
          <w:b/>
          <w:color w:val="000000" w:themeColor="text1"/>
          <w:sz w:val="24"/>
          <w:szCs w:val="24"/>
          <w:highlight w:val="white"/>
          <w:lang w:eastAsia="en-US"/>
        </w:rPr>
        <w:t xml:space="preserve">«Рабочая документация» – </w:t>
      </w:r>
      <w:r>
        <w:rPr>
          <w:color w:val="000000" w:themeColor="text1"/>
          <w:sz w:val="24"/>
          <w:szCs w:val="24"/>
          <w:highlight w:val="white"/>
          <w:lang w:eastAsia="en-US"/>
        </w:rPr>
        <w:t>совокупность текстовых и графических документов на русском языке, обеспечивающих реализацию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color w:val="000000" w:themeColor="text1"/>
          <w:sz w:val="24"/>
          <w:szCs w:val="24"/>
          <w:highlight w:val="white"/>
        </w:rPr>
        <w:t xml:space="preserve">одержащая: </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рабочие чертежи основного комплекта, спецификации оборудования и изделий;</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документы, разработанные в дополнение к рабочим чертежам основного комплекта;</w:t>
      </w:r>
    </w:p>
    <w:p>
      <w:pPr>
        <w:pStyle w:val="ListParagraph"/>
        <w:widowControl w:val="false"/>
        <w:numPr>
          <w:ilvl w:val="0"/>
          <w:numId w:val="3"/>
        </w:numPr>
        <w:shd w:val="clear" w:color="auto" w:fill="FFFFFF"/>
        <w:tabs>
          <w:tab w:val="clear" w:pos="709"/>
          <w:tab w:val="left" w:pos="567" w:leader="none"/>
          <w:tab w:val="left" w:pos="1134" w:leader="none"/>
        </w:tabs>
        <w:ind w:left="0" w:firstLine="709"/>
        <w:jc w:val="both"/>
        <w:rPr>
          <w:color w:val="000000" w:themeColor="text1"/>
          <w:highlight w:val="white"/>
        </w:rPr>
      </w:pPr>
      <w:r>
        <w:rPr>
          <w:color w:val="000000" w:themeColor="text1"/>
          <w:highlight w:val="white"/>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9"/>
          <w:tab w:val="left" w:pos="567" w:leader="none"/>
        </w:tabs>
        <w:spacing w:lineRule="auto" w:line="240"/>
        <w:ind w:firstLine="708"/>
        <w:rPr>
          <w:color w:val="000000" w:themeColor="text1"/>
          <w:sz w:val="24"/>
          <w:szCs w:val="24"/>
          <w:highlight w:val="white"/>
        </w:rPr>
      </w:pPr>
      <w:r>
        <w:rPr>
          <w:b/>
          <w:color w:val="000000" w:themeColor="text1"/>
          <w:sz w:val="24"/>
          <w:szCs w:val="24"/>
          <w:highlight w:val="white"/>
          <w:lang w:eastAsia="en-US"/>
        </w:rPr>
        <w:t>«Рабочий день»</w:t>
      </w:r>
      <w:r>
        <w:rPr>
          <w:color w:val="000000" w:themeColor="text1"/>
          <w:sz w:val="24"/>
          <w:szCs w:val="24"/>
          <w:highlight w:val="white"/>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9"/>
          <w:tab w:val="left" w:pos="567" w:leader="none"/>
        </w:tabs>
        <w:spacing w:before="0" w:after="0"/>
        <w:ind w:firstLine="708"/>
        <w:jc w:val="both"/>
        <w:rPr>
          <w:color w:val="000000" w:themeColor="text1"/>
          <w:sz w:val="24"/>
          <w:szCs w:val="24"/>
          <w:highlight w:val="white"/>
        </w:rPr>
      </w:pPr>
      <w:r>
        <w:rPr>
          <w:color w:val="000000" w:themeColor="text1"/>
          <w:sz w:val="24"/>
          <w:szCs w:val="24"/>
          <w:highlight w:val="white"/>
          <w:lang w:eastAsia="en-US"/>
        </w:rPr>
        <w:t xml:space="preserve">«Разрешительная документация» </w:t>
      </w:r>
      <w:r>
        <w:rPr>
          <w:b w:val="false"/>
          <w:color w:val="000000" w:themeColor="text1"/>
          <w:sz w:val="24"/>
          <w:szCs w:val="24"/>
          <w:highlight w:val="white"/>
          <w:lang w:eastAsia="en-US"/>
        </w:rPr>
        <w:t>–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w:t>
      </w:r>
      <w:r>
        <w:rPr>
          <w:color w:val="000000" w:themeColor="text1"/>
          <w:sz w:val="24"/>
          <w:szCs w:val="24"/>
          <w:highlight w:val="white"/>
          <w:lang w:eastAsia="en-US"/>
        </w:rPr>
        <w:t xml:space="preserve">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rPr>
      </w:pPr>
      <w:r>
        <w:rPr>
          <w:b/>
          <w:color w:val="000000" w:themeColor="text1"/>
          <w:highlight w:val="white"/>
          <w:lang w:eastAsia="en-US"/>
        </w:rPr>
        <w:t>«Ресурсы подрядчика»</w:t>
      </w:r>
      <w:r>
        <w:rPr>
          <w:color w:val="000000" w:themeColor="text1"/>
          <w:highlight w:val="white"/>
          <w:lang w:eastAsia="en-US"/>
        </w:rPr>
        <w:t xml:space="preserve"> – материалы, оборудование, приборы, подлежащие поставке Подрядчиком в соответствии с условиями Договора на основании Технического задания и Ведомости ресурсов Подрядчика, являющихся приложением к Договору.</w:t>
      </w:r>
    </w:p>
    <w:p>
      <w:pPr>
        <w:pStyle w:val="3"/>
        <w:keepNext w:val="false"/>
        <w:widowControl w:val="false"/>
        <w:tabs>
          <w:tab w:val="clear" w:pos="709"/>
          <w:tab w:val="left" w:pos="567" w:leader="none"/>
        </w:tabs>
        <w:spacing w:before="0" w:after="0"/>
        <w:ind w:firstLine="708"/>
        <w:jc w:val="both"/>
        <w:rPr>
          <w:b w:val="false"/>
          <w:b w:val="false"/>
          <w:color w:val="000000" w:themeColor="text1"/>
          <w:sz w:val="24"/>
          <w:szCs w:val="24"/>
          <w:highlight w:val="white"/>
        </w:rPr>
      </w:pPr>
      <w:r>
        <w:rPr>
          <w:color w:val="000000" w:themeColor="text1"/>
          <w:sz w:val="24"/>
          <w:szCs w:val="24"/>
          <w:highlight w:val="white"/>
          <w:lang w:eastAsia="en-US"/>
        </w:rPr>
        <w:t>«Результат работ»</w:t>
      </w:r>
      <w:r>
        <w:rPr>
          <w:b w:val="false"/>
          <w:color w:val="000000" w:themeColor="text1"/>
          <w:sz w:val="24"/>
          <w:szCs w:val="24"/>
          <w:highlight w:val="white"/>
          <w:lang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Техническом задании (Приложение № 1).</w:t>
      </w:r>
    </w:p>
    <w:p>
      <w:pPr>
        <w:pStyle w:val="Normal"/>
        <w:spacing w:lineRule="auto" w:line="240"/>
        <w:ind w:firstLine="709"/>
        <w:rPr>
          <w:rFonts w:eastAsia="Calibri"/>
          <w:color w:val="000000" w:themeColor="text1"/>
          <w:sz w:val="24"/>
          <w:szCs w:val="24"/>
          <w:highlight w:val="white"/>
        </w:rPr>
      </w:pPr>
      <w:r>
        <w:rPr>
          <w:rFonts w:eastAsia="Calibri"/>
          <w:b/>
          <w:color w:val="000000" w:themeColor="text1"/>
          <w:sz w:val="24"/>
          <w:szCs w:val="24"/>
          <w:highlight w:val="white"/>
          <w:lang w:eastAsia="en-US"/>
        </w:rPr>
        <w:t xml:space="preserve">«Скрытые работы» – </w:t>
      </w:r>
      <w:r>
        <w:rPr>
          <w:rFonts w:eastAsia="Calibri"/>
          <w:color w:val="000000" w:themeColor="text1"/>
          <w:sz w:val="24"/>
          <w:szCs w:val="24"/>
          <w:highlight w:val="white"/>
          <w:lang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Normal"/>
        <w:spacing w:lineRule="auto" w:line="240"/>
        <w:ind w:firstLine="709"/>
        <w:rPr>
          <w:rFonts w:eastAsia="Calibri"/>
          <w:color w:val="000000" w:themeColor="text1"/>
          <w:sz w:val="24"/>
          <w:szCs w:val="24"/>
          <w:highlight w:val="white"/>
        </w:rPr>
      </w:pPr>
      <w:r>
        <w:rPr>
          <w:rFonts w:eastAsia="Calibri"/>
          <w:color w:val="000000" w:themeColor="text1"/>
          <w:sz w:val="24"/>
          <w:szCs w:val="24"/>
          <w:highlight w:val="white"/>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rFonts w:eastAsia="Calibri"/>
          <w:b/>
          <w:color w:val="000000" w:themeColor="text1"/>
          <w:sz w:val="24"/>
          <w:szCs w:val="24"/>
          <w:highlight w:val="white"/>
          <w:lang w:eastAsia="en-US"/>
        </w:rPr>
        <w:t>«Субъект МСП»</w:t>
      </w:r>
      <w:r>
        <w:rPr>
          <w:rFonts w:eastAsia="Calibri"/>
          <w:color w:val="000000" w:themeColor="text1"/>
          <w:sz w:val="24"/>
          <w:szCs w:val="24"/>
          <w:highlight w:val="white"/>
          <w:lang w:eastAsia="en-US"/>
        </w:rPr>
        <w:t xml:space="preserve"> – субъект малого и среднего предпринимательства.</w:t>
      </w:r>
    </w:p>
    <w:p>
      <w:pPr>
        <w:pStyle w:val="Normal"/>
        <w:spacing w:lineRule="auto" w:line="240"/>
        <w:ind w:firstLine="709"/>
        <w:rPr>
          <w:color w:val="000000" w:themeColor="text1"/>
          <w:sz w:val="24"/>
          <w:szCs w:val="24"/>
          <w:highlight w:val="white"/>
        </w:rPr>
      </w:pPr>
      <w:r>
        <w:rPr>
          <w:b/>
          <w:color w:val="000000" w:themeColor="text1"/>
          <w:sz w:val="24"/>
          <w:szCs w:val="24"/>
          <w:highlight w:val="white"/>
          <w:lang w:eastAsia="en-US"/>
        </w:rPr>
        <w:t>«Субподрядчик»</w:t>
      </w:r>
      <w:r>
        <w:rPr>
          <w:color w:val="000000" w:themeColor="text1"/>
          <w:sz w:val="24"/>
          <w:szCs w:val="24"/>
          <w:highlight w:val="white"/>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9"/>
          <w:tab w:val="left" w:pos="567" w:leader="none"/>
        </w:tabs>
        <w:spacing w:before="0" w:after="0"/>
        <w:ind w:firstLine="708"/>
        <w:jc w:val="both"/>
        <w:rPr>
          <w:b w:val="false"/>
          <w:b w:val="false"/>
          <w:color w:val="000000" w:themeColor="text1"/>
          <w:sz w:val="24"/>
          <w:szCs w:val="24"/>
          <w:highlight w:val="white"/>
        </w:rPr>
      </w:pPr>
      <w:r>
        <w:rPr>
          <w:color w:val="000000" w:themeColor="text1"/>
          <w:sz w:val="24"/>
          <w:szCs w:val="24"/>
          <w:highlight w:val="white"/>
          <w:lang w:eastAsia="en-US"/>
        </w:rPr>
        <w:t xml:space="preserve"> </w:t>
      </w:r>
      <w:r>
        <w:rPr>
          <w:color w:val="000000" w:themeColor="text1"/>
          <w:sz w:val="24"/>
          <w:szCs w:val="24"/>
          <w:highlight w:val="white"/>
          <w:lang w:eastAsia="en-US"/>
        </w:rPr>
        <w:t>«Техническое задание»</w:t>
      </w:r>
      <w:r>
        <w:rPr>
          <w:b w:val="false"/>
          <w:color w:val="000000" w:themeColor="text1"/>
          <w:sz w:val="24"/>
          <w:szCs w:val="24"/>
          <w:highlight w:val="white"/>
          <w:lang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3"/>
        <w:keepNext w:val="false"/>
        <w:widowControl w:val="false"/>
        <w:tabs>
          <w:tab w:val="clear" w:pos="709"/>
          <w:tab w:val="left" w:pos="567" w:leader="none"/>
        </w:tabs>
        <w:spacing w:before="0" w:after="0"/>
        <w:ind w:firstLine="708"/>
        <w:jc w:val="both"/>
        <w:rPr>
          <w:b w:val="false"/>
          <w:b w:val="false"/>
          <w:color w:val="000000" w:themeColor="text1"/>
          <w:sz w:val="24"/>
          <w:szCs w:val="24"/>
          <w:highlight w:val="white"/>
        </w:rPr>
      </w:pPr>
      <w:r>
        <w:rPr>
          <w:color w:val="000000" w:themeColor="text1"/>
          <w:sz w:val="24"/>
          <w:szCs w:val="24"/>
          <w:highlight w:val="white"/>
          <w:lang w:eastAsia="en-US"/>
        </w:rPr>
        <w:t xml:space="preserve"> </w:t>
      </w:r>
      <w:r>
        <w:rPr>
          <w:color w:val="000000" w:themeColor="text1"/>
          <w:sz w:val="24"/>
          <w:szCs w:val="24"/>
          <w:highlight w:val="white"/>
          <w:lang w:eastAsia="en-US"/>
        </w:rPr>
        <w:t>«Цена Договора»</w:t>
      </w:r>
      <w:r>
        <w:rPr>
          <w:b w:val="false"/>
          <w:color w:val="000000" w:themeColor="text1"/>
          <w:sz w:val="24"/>
          <w:szCs w:val="24"/>
          <w:highlight w:val="white"/>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 на весь период действия Договора. </w:t>
      </w:r>
    </w:p>
    <w:p>
      <w:pPr>
        <w:pStyle w:val="3"/>
        <w:keepNext w:val="false"/>
        <w:widowControl w:val="false"/>
        <w:tabs>
          <w:tab w:val="clear" w:pos="709"/>
          <w:tab w:val="left" w:pos="567" w:leader="none"/>
        </w:tabs>
        <w:spacing w:before="0" w:after="0"/>
        <w:ind w:firstLine="708"/>
        <w:jc w:val="both"/>
        <w:rPr>
          <w:b w:val="false"/>
          <w:b w:val="false"/>
          <w:sz w:val="24"/>
          <w:szCs w:val="24"/>
          <w:lang w:eastAsia="en-US"/>
        </w:rPr>
      </w:pPr>
      <w:r>
        <w:rPr>
          <w:sz w:val="24"/>
          <w:szCs w:val="24"/>
          <w:lang w:eastAsia="en-US"/>
        </w:rPr>
        <w:t>«Этап Работ»</w:t>
      </w:r>
      <w:r>
        <w:rPr>
          <w:b w:val="false"/>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clear" w:pos="709"/>
          <w:tab w:val="left" w:pos="567" w:leader="none"/>
        </w:tabs>
        <w:spacing w:before="0" w:after="0"/>
        <w:ind w:firstLine="708"/>
        <w:jc w:val="both"/>
        <w:rPr>
          <w:bCs/>
        </w:rPr>
      </w:pPr>
      <w:r>
        <w:rPr>
          <w:b w:val="false"/>
          <w:color w:val="000000" w:themeColor="text1"/>
          <w:sz w:val="24"/>
          <w:szCs w:val="24"/>
          <w:highlight w:val="white"/>
          <w:lang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 </w:t>
      </w:r>
      <w:r>
        <w:rPr>
          <w:b w:val="false"/>
          <w:bCs/>
          <w:color w:val="000000" w:themeColor="text1"/>
          <w:sz w:val="24"/>
          <w:szCs w:val="24"/>
          <w:highlight w:val="white"/>
          <w:lang w:eastAsia="en-US"/>
        </w:rPr>
        <w:t xml:space="preserve"> </w:t>
      </w:r>
    </w:p>
    <w:p>
      <w:pPr>
        <w:pStyle w:val="ListParagraph"/>
        <w:widowControl w:val="false"/>
        <w:shd w:val="clear" w:color="auto" w:fill="FFFFFF"/>
        <w:tabs>
          <w:tab w:val="clear" w:pos="709"/>
          <w:tab w:val="left" w:pos="567" w:leader="none"/>
          <w:tab w:val="left" w:pos="1134" w:leader="none"/>
        </w:tabs>
        <w:ind w:left="0" w:firstLine="708"/>
        <w:jc w:val="both"/>
        <w:rPr>
          <w:color w:val="000000" w:themeColor="text1"/>
          <w:highlight w:val="white"/>
          <w:lang w:eastAsia="en-US"/>
        </w:rPr>
      </w:pPr>
      <w:r>
        <w:rPr>
          <w:color w:val="000000" w:themeColor="text1"/>
          <w:highlight w:val="white"/>
          <w:lang w:eastAsia="en-US"/>
        </w:rPr>
      </w:r>
    </w:p>
    <w:p>
      <w:pPr>
        <w:pStyle w:val="ListParagraph"/>
        <w:numPr>
          <w:ilvl w:val="0"/>
          <w:numId w:val="2"/>
        </w:numPr>
        <w:shd w:val="clear" w:color="auto" w:fill="FFFFFF"/>
        <w:ind w:left="0" w:hanging="0"/>
        <w:jc w:val="center"/>
        <w:rPr>
          <w:b/>
          <w:b/>
          <w:bCs/>
          <w:color w:val="000000" w:themeColor="text1"/>
          <w:highlight w:val="white"/>
        </w:rPr>
      </w:pPr>
      <w:r>
        <w:rPr>
          <w:b/>
          <w:bCs/>
          <w:color w:val="000000" w:themeColor="text1"/>
          <w:highlight w:val="white"/>
        </w:rPr>
        <w:t>Предмет Договора</w:t>
      </w:r>
    </w:p>
    <w:p>
      <w:pPr>
        <w:pStyle w:val="ListParagraph"/>
        <w:numPr>
          <w:ilvl w:val="1"/>
          <w:numId w:val="2"/>
        </w:numPr>
        <w:shd w:val="clear" w:color="auto" w:fill="FFFFFF"/>
        <w:tabs>
          <w:tab w:val="clear" w:pos="709"/>
          <w:tab w:val="left" w:pos="1134" w:leader="none"/>
        </w:tabs>
        <w:ind w:left="0" w:firstLine="709"/>
        <w:jc w:val="both"/>
        <w:rPr>
          <w:bCs/>
          <w:color w:val="000000" w:themeColor="text1"/>
          <w:highlight w:val="white"/>
        </w:rPr>
      </w:pPr>
      <w:bookmarkStart w:id="5" w:name="_Ref361410951"/>
      <w:r>
        <w:rPr>
          <w:bCs/>
          <w:color w:val="000000" w:themeColor="text1"/>
          <w:highlight w:val="white"/>
        </w:rPr>
        <w:t>Подрядчик обязуется в соответствии с Техническим заданием (Приложение № 1 к Договору) в</w:t>
      </w:r>
      <w:r>
        <w:rPr>
          <w:color w:val="000000" w:themeColor="text1"/>
          <w:highlight w:val="white"/>
        </w:rPr>
        <w:t>ыполнить</w:t>
      </w:r>
      <w:r>
        <w:rPr>
          <w:rFonts w:eastAsia="Times New Roman" w:cs="Times New Roman"/>
          <w:color w:val="000000"/>
        </w:rPr>
        <w:t xml:space="preserve"> проектные, строительно-монтажные работы по монтажу модульной компрессорной станции сжатого воздуха на Нерюнгринской ГРЭС в пос. Серебряный Бор Республики Саха (Якутия)</w:t>
      </w:r>
      <w:r>
        <w:rPr/>
        <w:t xml:space="preserve"> в рамках инвестиционного проекта</w:t>
      </w:r>
      <w:r>
        <w:rPr>
          <w:color w:val="000000" w:themeColor="text1"/>
        </w:rPr>
        <w:t xml:space="preserve"> R_505-НГ-24-203 (</w:t>
      </w:r>
      <w:r>
        <w:rPr>
          <w:bCs/>
          <w:color w:val="000000" w:themeColor="text1"/>
        </w:rPr>
        <w:t xml:space="preserve">далее по тексту – «Работы»), </w:t>
      </w:r>
      <w:bookmarkEnd w:id="5"/>
      <w:r>
        <w:rPr>
          <w:bCs/>
          <w:color w:val="000000" w:themeColor="text1"/>
        </w:rPr>
        <w:t>а та</w:t>
      </w:r>
      <w:r>
        <w:rPr>
          <w:bCs/>
          <w:color w:val="000000" w:themeColor="text1"/>
          <w:highlight w:val="white"/>
        </w:rPr>
        <w:t>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shd w:val="clear" w:color="auto" w:fill="FFFFFF"/>
        <w:spacing w:lineRule="auto" w:line="240"/>
        <w:ind w:firstLine="709"/>
        <w:rPr>
          <w:highlight w:val="white"/>
        </w:rPr>
      </w:pPr>
      <w:r>
        <w:rPr>
          <w:bCs/>
          <w:sz w:val="24"/>
          <w:szCs w:val="24"/>
          <w:highlight w:val="white"/>
        </w:rPr>
        <w:t>1.2. В состав Работ по Договору входят:</w:t>
      </w:r>
    </w:p>
    <w:p>
      <w:pPr>
        <w:pStyle w:val="Normal"/>
        <w:widowControl w:val="false"/>
        <w:shd w:val="clear" w:color="auto" w:fill="FFFFFF"/>
        <w:spacing w:lineRule="auto" w:line="240"/>
        <w:ind w:firstLine="709"/>
        <w:rPr>
          <w:highlight w:val="white"/>
        </w:rPr>
      </w:pPr>
      <w:r>
        <w:rPr>
          <w:bCs/>
          <w:sz w:val="24"/>
          <w:szCs w:val="24"/>
          <w:highlight w:val="white"/>
          <w:lang w:eastAsia="en-US"/>
        </w:rPr>
        <w:t>1.2.1. Проектные работы (сбор исходных данных в объёме, необходимом для выполнения разработки общих технических решений, разработка общих технических решений, разработка проектной документации, разработка рабочей документации, включая сметную, экспертиза промышленной безопасности рабочей документации с получением положительного заключения);</w:t>
      </w:r>
    </w:p>
    <w:p>
      <w:pPr>
        <w:pStyle w:val="Normal"/>
        <w:shd w:val="clear" w:color="auto" w:fill="FFFFFF"/>
        <w:spacing w:lineRule="auto" w:line="240"/>
        <w:ind w:firstLine="709"/>
        <w:rPr>
          <w:bCs/>
          <w:highlight w:val="white"/>
        </w:rPr>
      </w:pPr>
      <w:r>
        <w:rPr>
          <w:bCs/>
          <w:sz w:val="24"/>
          <w:szCs w:val="24"/>
          <w:highlight w:val="white"/>
        </w:rPr>
        <w:t>1.2.2. Приобретение и доставка модульной компрессорной станции сжатого воздуха;</w:t>
      </w:r>
    </w:p>
    <w:p>
      <w:pPr>
        <w:pStyle w:val="Normal"/>
        <w:shd w:val="clear" w:color="auto" w:fill="FFFFFF"/>
        <w:spacing w:lineRule="auto" w:line="240"/>
        <w:ind w:firstLine="709"/>
        <w:rPr>
          <w:sz w:val="24"/>
          <w:szCs w:val="24"/>
          <w:highlight w:val="white"/>
        </w:rPr>
      </w:pPr>
      <w:r>
        <w:rPr>
          <w:sz w:val="24"/>
          <w:szCs w:val="24"/>
          <w:highlight w:val="white"/>
        </w:rPr>
        <w:t>1.2.3. Строительно-монтажные работы.</w:t>
      </w:r>
    </w:p>
    <w:p>
      <w:pPr>
        <w:pStyle w:val="Normal"/>
        <w:shd w:val="clear" w:color="auto" w:fill="FFFFFF"/>
        <w:spacing w:lineRule="auto" w:line="240"/>
        <w:ind w:firstLine="709"/>
        <w:rPr>
          <w:sz w:val="24"/>
          <w:szCs w:val="24"/>
          <w:highlight w:val="white"/>
        </w:rPr>
      </w:pPr>
      <w:r>
        <w:rPr>
          <w:sz w:val="24"/>
          <w:szCs w:val="24"/>
          <w:highlight w:val="white"/>
        </w:rPr>
        <w:t>1.2.4. шеф-монтаж, пусконаладочные работы.</w:t>
      </w:r>
    </w:p>
    <w:p>
      <w:pPr>
        <w:pStyle w:val="Normal"/>
        <w:shd w:val="clear" w:color="auto" w:fill="FFFFFF"/>
        <w:spacing w:lineRule="auto" w:line="240"/>
        <w:ind w:firstLine="680"/>
        <w:rPr>
          <w:bCs/>
          <w:color w:val="000000" w:themeColor="text1"/>
          <w:sz w:val="22"/>
          <w:szCs w:val="22"/>
          <w:highlight w:val="white"/>
        </w:rPr>
      </w:pPr>
      <w:r>
        <w:rPr>
          <w:bCs/>
          <w:color w:val="000000" w:themeColor="text1"/>
          <w:sz w:val="24"/>
          <w:szCs w:val="24"/>
          <w:highlight w:val="white"/>
        </w:rPr>
        <w:t xml:space="preserve"> </w:t>
      </w:r>
      <w:r>
        <w:rPr>
          <w:bCs/>
          <w:color w:val="000000" w:themeColor="text1"/>
          <w:sz w:val="24"/>
          <w:szCs w:val="24"/>
          <w:highlight w:val="white"/>
        </w:rPr>
        <w:t>1.3. Объем и состав Работ по Договору определяется Ведомостью объемов работ (Приложение № 1.1 к Техническому заданию). Работы по Договору подлежат выполнению Подрядчиком в строгом соответствии с Проектной, Рабочей документацией, требованиями Применимого права и указаниями Заказчика.</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1.4. Работы по Договору выполняются для нужд структурного подразделения Заказчика «Нерюнгринская ГРЭС». </w:t>
      </w:r>
      <w:bookmarkStart w:id="6" w:name="_Ref361320424"/>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1.5. Работы выполняются Подрядчиком в следующие сроки:</w:t>
      </w:r>
      <w:bookmarkEnd w:id="6"/>
    </w:p>
    <w:p>
      <w:pPr>
        <w:pStyle w:val="Normal"/>
        <w:shd w:val="clear" w:color="auto" w:fill="FFFFFF"/>
        <w:spacing w:lineRule="auto" w:line="240"/>
        <w:ind w:firstLine="709"/>
        <w:rPr>
          <w:color w:val="000000" w:themeColor="text1"/>
          <w:sz w:val="22"/>
          <w:szCs w:val="22"/>
          <w:highlight w:val="white"/>
        </w:rPr>
      </w:pPr>
      <w:r>
        <w:rPr>
          <w:bCs/>
          <w:color w:val="000000" w:themeColor="text1"/>
          <w:sz w:val="24"/>
          <w:szCs w:val="24"/>
          <w:highlight w:val="white"/>
        </w:rPr>
        <w:t>1.5.1 начало выполнения Работ: с даты, следующей за датой заключения договора</w:t>
      </w:r>
    </w:p>
    <w:p>
      <w:pPr>
        <w:pStyle w:val="ListParagraph"/>
        <w:shd w:val="clear" w:color="auto" w:fill="FFFFFF"/>
        <w:tabs>
          <w:tab w:val="clear" w:pos="709"/>
          <w:tab w:val="left" w:pos="1134" w:leader="none"/>
        </w:tabs>
        <w:ind w:left="0" w:firstLine="709"/>
        <w:jc w:val="both"/>
        <w:rPr>
          <w:bCs/>
          <w:color w:val="000000" w:themeColor="text1"/>
          <w:highlight w:val="white"/>
        </w:rPr>
      </w:pPr>
      <w:r>
        <w:rPr>
          <w:color w:val="000000" w:themeColor="text1"/>
          <w:highlight w:val="white"/>
        </w:rPr>
        <w:t xml:space="preserve">1.5.2. </w:t>
      </w:r>
      <w:r>
        <w:rPr>
          <w:bCs/>
          <w:color w:val="000000" w:themeColor="text1"/>
          <w:highlight w:val="white"/>
        </w:rPr>
        <w:t>окончание выполнения Работ: в течении 245 календарных дней с даты заключения договора.</w:t>
      </w:r>
    </w:p>
    <w:p>
      <w:pPr>
        <w:pStyle w:val="ListParagraph"/>
        <w:shd w:val="clear" w:color="auto" w:fill="FFFFFF"/>
        <w:tabs>
          <w:tab w:val="clear" w:pos="709"/>
          <w:tab w:val="left" w:pos="284" w:leader="none"/>
        </w:tabs>
        <w:ind w:left="0" w:firstLine="709"/>
        <w:jc w:val="both"/>
        <w:rPr>
          <w:color w:val="000000" w:themeColor="text1"/>
          <w:highlight w:val="white"/>
        </w:rPr>
      </w:pPr>
      <w:r>
        <w:rPr>
          <w:bCs/>
          <w:color w:val="000000" w:themeColor="text1"/>
          <w:highlight w:val="white"/>
        </w:rPr>
        <w:t>1.5.3.</w:t>
        <w:tab/>
        <w:t xml:space="preserve">Выполнение Работ осуществляется поэтапно, в соответствии с Календарным графиком выполнения и финансирования Работ (Приложение №2 к Договору) в рамках общих сроков, указанных в пунктах 1.5.1-1.5.2 Договора. </w:t>
      </w:r>
    </w:p>
    <w:p>
      <w:pPr>
        <w:pStyle w:val="ListParagraph"/>
        <w:shd w:val="clear" w:color="auto" w:fill="FFFFFF"/>
        <w:tabs>
          <w:tab w:val="clear" w:pos="709"/>
          <w:tab w:val="left" w:pos="284" w:leader="none"/>
        </w:tabs>
        <w:ind w:left="0" w:firstLine="709"/>
        <w:jc w:val="both"/>
        <w:rPr>
          <w:color w:val="000000" w:themeColor="text1"/>
          <w:highlight w:val="white"/>
        </w:rPr>
      </w:pPr>
      <w:r>
        <w:rPr>
          <w:color w:val="000000" w:themeColor="text1"/>
          <w:highlight w:val="white"/>
        </w:rPr>
      </w:r>
    </w:p>
    <w:p>
      <w:pPr>
        <w:pStyle w:val="Normal"/>
        <w:shd w:val="clear" w:color="auto" w:fill="FFFFFF"/>
        <w:tabs>
          <w:tab w:val="clear" w:pos="709"/>
          <w:tab w:val="left" w:pos="284" w:leader="none"/>
        </w:tabs>
        <w:spacing w:lineRule="auto" w:line="240"/>
        <w:jc w:val="center"/>
        <w:rPr>
          <w:b/>
          <w:b/>
          <w:bCs/>
          <w:color w:val="000000" w:themeColor="text1"/>
          <w:sz w:val="22"/>
          <w:szCs w:val="22"/>
          <w:highlight w:val="white"/>
        </w:rPr>
      </w:pPr>
      <w:r>
        <w:rPr>
          <w:b/>
          <w:bCs/>
          <w:color w:val="000000" w:themeColor="text1"/>
          <w:sz w:val="22"/>
          <w:szCs w:val="22"/>
          <w:highlight w:val="white"/>
        </w:rPr>
      </w:r>
    </w:p>
    <w:p>
      <w:pPr>
        <w:pStyle w:val="ListParagraph"/>
        <w:numPr>
          <w:ilvl w:val="0"/>
          <w:numId w:val="2"/>
        </w:numPr>
        <w:shd w:val="clear" w:color="auto" w:fill="FFFFFF"/>
        <w:tabs>
          <w:tab w:val="clear" w:pos="709"/>
          <w:tab w:val="left" w:pos="284" w:leader="none"/>
        </w:tabs>
        <w:ind w:left="0" w:hanging="0"/>
        <w:jc w:val="center"/>
        <w:rPr>
          <w:b/>
          <w:b/>
          <w:bCs/>
        </w:rPr>
      </w:pPr>
      <w:r>
        <w:rPr>
          <w:b/>
          <w:bCs/>
        </w:rPr>
        <w:t xml:space="preserve">Права и обязанности Сторон </w:t>
      </w:r>
    </w:p>
    <w:p>
      <w:pPr>
        <w:pStyle w:val="ListParagraph"/>
        <w:numPr>
          <w:ilvl w:val="1"/>
          <w:numId w:val="2"/>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9"/>
          <w:tab w:val="left" w:pos="1418" w:leader="none"/>
        </w:tabs>
        <w:ind w:left="0" w:firstLine="709"/>
        <w:jc w:val="both"/>
        <w:rPr>
          <w:bCs/>
          <w:color w:val="000000" w:themeColor="text1"/>
          <w:sz w:val="22"/>
          <w:szCs w:val="22"/>
          <w:highlight w:val="white"/>
        </w:rPr>
      </w:pPr>
      <w:r>
        <w:rPr>
          <w:bCs/>
          <w:color w:val="000000" w:themeColor="text1"/>
          <w:highlight w:val="white"/>
        </w:rPr>
        <w:t xml:space="preserve">В течение </w:t>
      </w:r>
      <w:r>
        <w:rPr>
          <w:bCs/>
          <w:color w:val="000000" w:themeColor="text1"/>
        </w:rPr>
        <w:t>3 (трех)</w:t>
      </w:r>
      <w:r>
        <w:rPr>
          <w:bCs/>
          <w:color w:val="000000" w:themeColor="text1"/>
          <w:highlight w:val="white"/>
        </w:rPr>
        <w:t xml:space="preserve"> рабочих дней с даты получения соответствующего письменного запроса Подрядчика, передать (предоставить) последнему</w:t>
      </w:r>
      <w:bookmarkStart w:id="7" w:name="_Ref361396847"/>
      <w:bookmarkStart w:id="8" w:name="_Ref361320734"/>
      <w:bookmarkStart w:id="9" w:name="_Ref361401696"/>
      <w:r>
        <w:rPr>
          <w:bCs/>
        </w:rPr>
        <w:t xml:space="preserve">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Pr/>
        <w:t xml:space="preserve"> </w:t>
      </w:r>
      <w:bookmarkEnd w:id="7"/>
      <w:bookmarkEnd w:id="8"/>
      <w:bookmarkEnd w:id="9"/>
    </w:p>
    <w:p>
      <w:pPr>
        <w:pStyle w:val="PlainText"/>
        <w:numPr>
          <w:ilvl w:val="2"/>
          <w:numId w:val="2"/>
        </w:numPr>
        <w:ind w:left="0" w:firstLine="709"/>
        <w:jc w:val="both"/>
        <w:rPr>
          <w:rFonts w:ascii="Times New Roman" w:hAnsi="Times New Roman" w:cs="Times New Roman"/>
          <w:sz w:val="24"/>
          <w:szCs w:val="24"/>
        </w:rPr>
      </w:pPr>
      <w:r>
        <w:rPr>
          <w:rFonts w:cs="Times New Roman" w:ascii="Times New Roman" w:hAnsi="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numPr>
          <w:ilvl w:val="2"/>
          <w:numId w:val="2"/>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Normal"/>
        <w:tabs>
          <w:tab w:val="left" w:pos="709" w:leader="none"/>
        </w:tabs>
        <w:spacing w:lineRule="auto" w:line="240"/>
        <w:ind w:hanging="0"/>
        <w:rPr>
          <w:b/>
          <w:b/>
          <w:sz w:val="24"/>
          <w:szCs w:val="24"/>
        </w:rPr>
      </w:pPr>
      <w:r>
        <w:rPr>
          <w:b/>
          <w:sz w:val="24"/>
          <w:szCs w:val="24"/>
        </w:rPr>
      </w:r>
    </w:p>
    <w:p>
      <w:pPr>
        <w:pStyle w:val="ListParagraph"/>
        <w:numPr>
          <w:ilvl w:val="1"/>
          <w:numId w:val="2"/>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709"/>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9"/>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9"/>
          <w:tab w:val="left" w:pos="1418" w:leader="none"/>
        </w:tabs>
        <w:ind w:left="0" w:firstLine="709"/>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numPr>
          <w:ilvl w:val="2"/>
          <w:numId w:val="2"/>
        </w:numPr>
        <w:shd w:val="clear" w:color="auto" w:fill="FFFFFF"/>
        <w:tabs>
          <w:tab w:val="clear" w:pos="709"/>
          <w:tab w:val="left" w:pos="1418" w:leader="none"/>
        </w:tabs>
        <w:ind w:left="0" w:firstLine="709"/>
        <w:jc w:val="both"/>
        <w:rPr>
          <w:bCs/>
        </w:rPr>
      </w:pPr>
      <w:bookmarkStart w:id="11"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pPr>
        <w:pStyle w:val="ListParagraph"/>
        <w:numPr>
          <w:ilvl w:val="2"/>
          <w:numId w:val="2"/>
        </w:numPr>
        <w:shd w:val="clear" w:color="auto" w:fill="FFFFFF"/>
        <w:tabs>
          <w:tab w:val="clear" w:pos="709"/>
          <w:tab w:val="left" w:pos="1418" w:leader="none"/>
        </w:tabs>
        <w:ind w:left="0" w:firstLine="709"/>
        <w:jc w:val="both"/>
        <w:rPr>
          <w:bCs/>
        </w:rPr>
      </w:pPr>
      <w:bookmarkStart w:id="12"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w:t>
      </w:r>
    </w:p>
    <w:p>
      <w:pPr>
        <w:pStyle w:val="ListParagraph"/>
        <w:numPr>
          <w:ilvl w:val="2"/>
          <w:numId w:val="2"/>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9"/>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shd w:val="clear" w:color="auto" w:fill="FFFFFF"/>
        <w:tabs>
          <w:tab w:val="clear" w:pos="709"/>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709"/>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709"/>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709"/>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 к Договору); </w:t>
      </w:r>
    </w:p>
    <w:p>
      <w:pPr>
        <w:pStyle w:val="ListParagraph"/>
        <w:numPr>
          <w:ilvl w:val="2"/>
          <w:numId w:val="2"/>
        </w:numPr>
        <w:shd w:val="clear" w:color="auto" w:fill="FFFFFF"/>
        <w:tabs>
          <w:tab w:val="clear" w:pos="709"/>
          <w:tab w:val="left" w:pos="1418" w:leader="none"/>
        </w:tabs>
        <w:ind w:left="0" w:firstLine="567"/>
        <w:jc w:val="both"/>
        <w:rPr>
          <w:bCs/>
        </w:rPr>
      </w:pPr>
      <w:r>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pPr>
        <w:pStyle w:val="ListParagraph"/>
        <w:shd w:val="clear" w:color="auto" w:fill="FFFFFF"/>
        <w:tabs>
          <w:tab w:val="clear" w:pos="709"/>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9"/>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9"/>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4"/>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4"/>
        </w:numPr>
        <w:shd w:val="clear" w:color="auto" w:fill="FFFFFF"/>
        <w:tabs>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2"/>
        </w:numPr>
        <w:shd w:val="clear" w:color="auto" w:fill="FFFFFF"/>
        <w:tabs>
          <w:tab w:val="clear" w:pos="709"/>
          <w:tab w:val="left" w:pos="1418" w:leader="none"/>
        </w:tabs>
        <w:ind w:left="0" w:firstLine="709"/>
        <w:jc w:val="both"/>
        <w:rPr>
          <w:bCs/>
        </w:rPr>
      </w:pPr>
      <w:r>
        <w:rPr>
          <w:bCs/>
        </w:rPr>
        <w:t xml:space="preserve">Обеспечить сохранность переданных Заказчиком по соответствующим актам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9"/>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9"/>
          <w:tab w:val="left" w:pos="1418" w:leader="none"/>
        </w:tabs>
        <w:ind w:left="0" w:firstLine="709"/>
        <w:jc w:val="both"/>
        <w:rPr/>
      </w:pPr>
      <w:r>
        <w:rPr/>
        <w:t>Обеспечить:</w:t>
      </w:r>
    </w:p>
    <w:p>
      <w:pPr>
        <w:pStyle w:val="ListParagraph"/>
        <w:numPr>
          <w:ilvl w:val="0"/>
          <w:numId w:val="0"/>
        </w:numPr>
        <w:shd w:val="clear" w:color="auto" w:fill="FFFFFF"/>
        <w:tabs>
          <w:tab w:val="clear" w:pos="709"/>
          <w:tab w:val="left" w:pos="0" w:leader="none"/>
        </w:tabs>
        <w:ind w:left="315" w:hanging="0"/>
        <w:jc w:val="both"/>
        <w:rPr>
          <w:bCs/>
        </w:rPr>
      </w:pPr>
      <w:r>
        <w:rPr>
          <w:bCs/>
        </w:rPr>
        <w:t xml:space="preserve">- участие в саморегулируемой организации, основанной на членстве лиц, </w:t>
      </w:r>
      <w:r>
        <w:rPr/>
        <w:t>выполняющих  подготовку проектной документации</w:t>
      </w:r>
      <w:r>
        <w:rPr>
          <w:bCs/>
        </w:rPr>
        <w:t>, предусмотренных законодательством Российской Федерации);</w:t>
      </w:r>
    </w:p>
    <w:p>
      <w:pPr>
        <w:pStyle w:val="ListParagraph"/>
        <w:numPr>
          <w:ilvl w:val="0"/>
          <w:numId w:val="0"/>
        </w:numPr>
        <w:shd w:val="clear" w:color="auto" w:fill="FFFFFF"/>
        <w:tabs>
          <w:tab w:val="clear" w:pos="709"/>
          <w:tab w:val="left" w:pos="567" w:leader="none"/>
          <w:tab w:val="left" w:pos="1418" w:leader="none"/>
        </w:tabs>
        <w:ind w:left="315" w:hanging="0"/>
        <w:jc w:val="both"/>
        <w:rPr>
          <w:bCs/>
        </w:rPr>
      </w:pPr>
      <w:r>
        <w:rPr>
          <w:bCs/>
        </w:rPr>
        <w:t>- 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0"/>
        </w:numPr>
        <w:tabs>
          <w:tab w:val="clear" w:pos="709"/>
          <w:tab w:val="left" w:pos="567" w:leader="none"/>
        </w:tabs>
        <w:ind w:left="315" w:hanging="0"/>
        <w:jc w:val="both"/>
        <w:rPr>
          <w:bCs/>
        </w:rPr>
      </w:pPr>
      <w:r>
        <w:rPr>
          <w:bCs/>
        </w:rPr>
        <w:t>- 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2"/>
        </w:numPr>
        <w:shd w:val="clear" w:color="auto" w:fill="FFFFFF"/>
        <w:tabs>
          <w:tab w:val="clear" w:pos="709"/>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2"/>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2"/>
        </w:numPr>
        <w:shd w:val="clear" w:color="auto" w:fill="FFFFFF"/>
        <w:tabs>
          <w:tab w:val="clear" w:pos="709"/>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10"/>
        <w:jc w:val="both"/>
        <w:rPr>
          <w:bCs/>
        </w:rPr>
      </w:pPr>
      <w:r>
        <w:rPr>
          <w:bCs/>
          <w:color w:val="000000" w:themeColor="text1"/>
          <w:highlight w:val="white"/>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9"/>
          <w:tab w:val="left" w:pos="1418" w:leader="none"/>
        </w:tabs>
        <w:ind w:left="0" w:firstLine="710"/>
        <w:jc w:val="both"/>
        <w:rPr>
          <w:bCs/>
        </w:rPr>
      </w:pPr>
      <w:r>
        <w:rPr>
          <w:bCs/>
          <w:color w:val="000000" w:themeColor="text1"/>
          <w:highlight w:val="white"/>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2"/>
        </w:numPr>
        <w:shd w:val="clear" w:color="auto" w:fill="FFFFFF"/>
        <w:tabs>
          <w:tab w:val="clear" w:pos="709"/>
          <w:tab w:val="left" w:pos="1418" w:leader="none"/>
        </w:tabs>
        <w:ind w:left="0" w:firstLine="710"/>
        <w:jc w:val="both"/>
        <w:rPr>
          <w:bCs/>
        </w:rPr>
      </w:pPr>
      <w:r>
        <w:rPr>
          <w:bCs/>
          <w:color w:val="000000" w:themeColor="text1"/>
          <w:highlight w:val="white"/>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9"/>
          <w:tab w:val="left" w:pos="1418" w:leader="none"/>
        </w:tabs>
        <w:ind w:left="0" w:firstLine="709"/>
        <w:jc w:val="both"/>
        <w:rPr>
          <w:bCs/>
        </w:rPr>
      </w:pPr>
      <w:r>
        <w:rPr>
          <w:bCs/>
          <w:color w:val="000000" w:themeColor="text1"/>
          <w:highlight w:val="white"/>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9"/>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tabs>
          <w:tab w:val="clear" w:pos="709"/>
          <w:tab w:val="left" w:pos="1418" w:leader="none"/>
        </w:tabs>
        <w:ind w:left="0" w:hanging="0"/>
        <w:jc w:val="both"/>
        <w:rPr>
          <w:bCs/>
        </w:rPr>
      </w:pPr>
      <w:r>
        <w:rPr>
          <w:bCs/>
          <w:color w:val="000000" w:themeColor="text1"/>
          <w:highlight w:val="white"/>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709"/>
          <w:tab w:val="left" w:pos="1418" w:leader="none"/>
        </w:tabs>
        <w:ind w:left="0" w:firstLine="709"/>
        <w:jc w:val="both"/>
        <w:rPr>
          <w:bCs/>
        </w:rPr>
      </w:pPr>
      <w:r>
        <w:rPr>
          <w:bCs/>
          <w:color w:val="000000" w:themeColor="text1"/>
          <w:highlight w:val="white"/>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9"/>
          <w:tab w:val="left" w:pos="1418" w:leader="none"/>
        </w:tabs>
        <w:ind w:left="0" w:hanging="0"/>
        <w:jc w:val="both"/>
        <w:rPr>
          <w:bCs/>
        </w:rPr>
      </w:pPr>
      <w:r>
        <w:rPr>
          <w:bCs/>
          <w:color w:val="000000" w:themeColor="text1"/>
          <w:highlight w:val="white"/>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9"/>
          <w:tab w:val="left" w:pos="1418" w:leader="none"/>
        </w:tabs>
        <w:ind w:left="0" w:firstLine="709"/>
        <w:jc w:val="both"/>
        <w:rPr>
          <w:bCs/>
        </w:rPr>
      </w:pPr>
      <w:r>
        <w:rPr>
          <w:bCs/>
          <w:color w:val="000000" w:themeColor="text1"/>
          <w:highlight w:val="white"/>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9"/>
          <w:tab w:val="left" w:pos="1418" w:leader="none"/>
        </w:tabs>
        <w:ind w:left="0" w:firstLine="710"/>
        <w:jc w:val="both"/>
        <w:rPr>
          <w:bCs/>
        </w:rPr>
      </w:pPr>
      <w:r>
        <w:rPr>
          <w:bCs/>
          <w:color w:val="000000" w:themeColor="text1"/>
          <w:highlight w:val="white"/>
        </w:rPr>
        <w:t>Передать Заказчику в полном объеме лом черных и цветных металлов, образовавшийся в ходе выполнения Работ.</w:t>
      </w:r>
    </w:p>
    <w:p>
      <w:pPr>
        <w:pStyle w:val="ListParagraph"/>
        <w:numPr>
          <w:ilvl w:val="2"/>
          <w:numId w:val="2"/>
        </w:numPr>
        <w:shd w:val="clear" w:color="auto" w:fill="FFFFFF"/>
        <w:tabs>
          <w:tab w:val="clear" w:pos="709"/>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hanging="0"/>
        <w:rPr>
          <w:bCs/>
        </w:rPr>
      </w:pPr>
      <w:r>
        <w:rPr>
          <w:bCs/>
          <w:sz w:val="24"/>
          <w:szCs w:val="24"/>
        </w:rPr>
        <w:t xml:space="preserve">          </w:t>
      </w: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hanging="0"/>
        <w:rPr>
          <w:bCs/>
          <w:sz w:val="24"/>
          <w:szCs w:val="24"/>
        </w:rPr>
      </w:pPr>
      <w:r>
        <w:rPr>
          <w:bCs/>
          <w:sz w:val="24"/>
          <w:szCs w:val="24"/>
        </w:rPr>
        <w:t xml:space="preserve">     </w:t>
      </w: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9"/>
          <w:tab w:val="left" w:pos="1418" w:leader="none"/>
        </w:tabs>
        <w:ind w:left="0" w:hanging="0"/>
        <w:jc w:val="both"/>
        <w:rPr>
          <w:bCs/>
        </w:rPr>
      </w:pPr>
      <w:r>
        <w:rPr>
          <w:bCs/>
          <w:color w:val="000000" w:themeColor="text1"/>
          <w:highlight w:val="white"/>
        </w:rPr>
        <w:t xml:space="preserve">      </w:t>
      </w:r>
      <w:r>
        <w:rPr>
          <w:bCs/>
          <w:color w:val="000000" w:themeColor="text1"/>
          <w:highlight w:val="white"/>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shd w:val="clear" w:color="auto" w:fill="FFFFFF"/>
        <w:tabs>
          <w:tab w:val="clear" w:pos="709"/>
          <w:tab w:val="left" w:pos="1418" w:leader="none"/>
        </w:tabs>
        <w:ind w:left="0" w:hanging="0"/>
        <w:jc w:val="both"/>
        <w:rPr/>
      </w:pPr>
      <w:r>
        <w:rPr>
          <w:bCs/>
          <w:color w:val="000000" w:themeColor="text1"/>
          <w:highlight w:val="white"/>
        </w:rPr>
        <w:t xml:space="preserve">            </w:t>
      </w:r>
      <w:r>
        <w:rPr>
          <w:bCs/>
          <w:color w:val="000000" w:themeColor="text1"/>
          <w:highlight w:val="white"/>
        </w:rPr>
        <w:t>2.3.22. Письменно известить Заказчика и до получения от него необходимых указаний приостановить Работу при обнаружении:</w:t>
      </w:r>
    </w:p>
    <w:p>
      <w:pPr>
        <w:pStyle w:val="ListParagraph"/>
        <w:shd w:val="clear" w:color="auto" w:fill="FFFFFF"/>
        <w:tabs>
          <w:tab w:val="left" w:pos="709" w:leader="none"/>
        </w:tabs>
        <w:ind w:left="0" w:hanging="0"/>
        <w:jc w:val="both"/>
        <w:rPr>
          <w:bCs/>
        </w:rPr>
      </w:pPr>
      <w:r>
        <w:rPr>
          <w:bCs/>
          <w:color w:val="000000" w:themeColor="text1"/>
          <w:highlight w:val="white"/>
        </w:rPr>
        <w:tab/>
        <w:t xml:space="preserve"> 2.3.22.1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shd w:val="clear" w:color="auto" w:fill="FFFFFF"/>
        <w:tabs>
          <w:tab w:val="clear" w:pos="709"/>
          <w:tab w:val="left" w:pos="855" w:leader="none"/>
        </w:tabs>
        <w:ind w:left="0" w:firstLine="709"/>
        <w:jc w:val="both"/>
        <w:rPr/>
      </w:pPr>
      <w:r>
        <w:rPr>
          <w:bCs/>
          <w:color w:val="000000" w:themeColor="text1"/>
          <w:highlight w:val="white"/>
        </w:rPr>
        <w:t xml:space="preserve"> </w:t>
      </w:r>
      <w:r>
        <w:rPr>
          <w:bCs/>
          <w:color w:val="000000" w:themeColor="text1"/>
          <w:highlight w:val="white"/>
        </w:rPr>
        <w:t>2.3.22.2.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shd w:val="clear" w:color="auto" w:fill="FFFFFF"/>
        <w:tabs>
          <w:tab w:val="clear" w:pos="709"/>
          <w:tab w:val="left" w:pos="735" w:leader="none"/>
        </w:tabs>
        <w:ind w:left="0" w:firstLine="794"/>
        <w:jc w:val="both"/>
        <w:rPr/>
      </w:pPr>
      <w:r>
        <w:rPr>
          <w:bCs/>
          <w:color w:val="000000" w:themeColor="text1"/>
          <w:highlight w:val="white"/>
        </w:rPr>
        <w:t>2.3.22.3. 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855" w:leader="none"/>
        </w:tabs>
        <w:ind w:left="0" w:hanging="0"/>
        <w:jc w:val="both"/>
        <w:rPr>
          <w:bCs/>
        </w:rPr>
      </w:pPr>
      <w:r>
        <w:rPr>
          <w:bCs/>
          <w:color w:val="000000" w:themeColor="text1"/>
          <w:highlight w:val="white"/>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shd w:val="clear" w:color="auto" w:fill="FFFFFF"/>
        <w:tabs>
          <w:tab w:val="clear" w:pos="709"/>
          <w:tab w:val="left" w:pos="855" w:leader="none"/>
        </w:tabs>
        <w:ind w:left="0" w:firstLine="709"/>
        <w:jc w:val="both"/>
        <w:rPr>
          <w:bCs/>
        </w:rPr>
      </w:pPr>
      <w:r>
        <w:rPr>
          <w:bCs/>
          <w:color w:val="000000" w:themeColor="text1"/>
          <w:highlight w:val="white"/>
        </w:rPr>
        <w:t>2.3.23. 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widowControl/>
        <w:suppressAutoHyphens w:val="true"/>
        <w:bidi w:val="0"/>
        <w:spacing w:lineRule="auto" w:line="240" w:before="0" w:after="0"/>
        <w:ind w:left="0" w:right="0" w:firstLine="680"/>
        <w:contextualSpacing/>
        <w:jc w:val="both"/>
        <w:rPr/>
      </w:pPr>
      <w:r>
        <w:rPr/>
        <w:t>-   аварии – в течение 2 (двух) часов;</w:t>
      </w:r>
    </w:p>
    <w:p>
      <w:pPr>
        <w:pStyle w:val="ListParagraph"/>
        <w:widowControl/>
        <w:suppressAutoHyphens w:val="true"/>
        <w:bidi w:val="0"/>
        <w:spacing w:lineRule="auto" w:line="240" w:before="0" w:after="0"/>
        <w:ind w:left="0" w:right="0" w:firstLine="680"/>
        <w:contextualSpacing/>
        <w:jc w:val="both"/>
        <w:rPr/>
      </w:pPr>
      <w:r>
        <w:rPr/>
        <w:t>- 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widowControl/>
        <w:suppressAutoHyphens w:val="true"/>
        <w:bidi w:val="0"/>
        <w:spacing w:lineRule="auto" w:line="240" w:before="0" w:after="0"/>
        <w:ind w:left="0" w:right="0" w:firstLine="680"/>
        <w:contextualSpacing/>
        <w:jc w:val="both"/>
        <w:rPr/>
      </w:pPr>
      <w:r>
        <w:rPr/>
        <w:t>- хищении и иных противоправных действиях – в течение 24 (двадцати четырех) часов;</w:t>
      </w:r>
    </w:p>
    <w:p>
      <w:pPr>
        <w:pStyle w:val="ListParagraph"/>
        <w:widowControl/>
        <w:suppressAutoHyphens w:val="true"/>
        <w:bidi w:val="0"/>
        <w:spacing w:lineRule="auto" w:line="240" w:before="0" w:after="0"/>
        <w:ind w:left="0" w:right="0" w:firstLine="680"/>
        <w:contextualSpacing/>
        <w:jc w:val="both"/>
        <w:rPr/>
      </w:pPr>
      <w:r>
        <w:rPr/>
        <w:t>- 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widowControl/>
        <w:suppressAutoHyphens w:val="true"/>
        <w:bidi w:val="0"/>
        <w:spacing w:lineRule="auto" w:line="240" w:before="0" w:after="0"/>
        <w:ind w:left="0" w:right="0" w:firstLine="680"/>
        <w:contextualSpacing/>
        <w:jc w:val="both"/>
        <w:rPr/>
      </w:pPr>
      <w:r>
        <w:rPr/>
        <w:t>- 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widowControl/>
        <w:suppressAutoHyphens w:val="true"/>
        <w:bidi w:val="0"/>
        <w:spacing w:lineRule="auto" w:line="240" w:before="0" w:after="0"/>
        <w:ind w:left="0" w:right="0" w:firstLine="680"/>
        <w:contextualSpacing/>
        <w:jc w:val="both"/>
        <w:rPr/>
      </w:pPr>
      <w:r>
        <w:rPr/>
        <w:t xml:space="preserve">- </w:t>
      </w:r>
      <w:r>
        <w:rPr>
          <w:bCs/>
          <w:color w:val="000000" w:themeColor="text1"/>
          <w:highlight w:val="white"/>
        </w:rPr>
        <w:t>иных обстоятельствах, фактах, сообщениях в средствах массовой информации – в течение 24 (двадцати четырех) часов.</w:t>
      </w:r>
    </w:p>
    <w:p>
      <w:pPr>
        <w:pStyle w:val="ListParagraph"/>
        <w:shd w:val="clear" w:color="auto" w:fill="FFFFFF"/>
        <w:tabs>
          <w:tab w:val="clear" w:pos="709"/>
          <w:tab w:val="left" w:pos="855" w:leader="none"/>
        </w:tabs>
        <w:ind w:left="0" w:firstLine="850"/>
        <w:jc w:val="both"/>
        <w:rPr/>
      </w:pPr>
      <w:r>
        <w:rPr>
          <w:bCs/>
          <w:color w:val="000000" w:themeColor="text1"/>
          <w:highlight w:val="white"/>
        </w:rPr>
        <w:t>2.3.24.</w:t>
      </w:r>
      <w:r>
        <w:rPr>
          <w:bCs/>
          <w:color w:val="000000" w:themeColor="text1"/>
        </w:rPr>
        <w:t xml:space="preserve"> </w:t>
      </w: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853" w:leader="none"/>
          <w:tab w:val="left" w:pos="1418" w:leader="none"/>
        </w:tabs>
        <w:ind w:left="0" w:hanging="0"/>
        <w:jc w:val="both"/>
        <w:rPr/>
      </w:pPr>
      <w:r>
        <w:rPr/>
        <w:tab/>
        <w:t>Подрядчик обязан незамедлительно приступать к устранению недостатков, о которых ему стало известно.</w:t>
      </w:r>
    </w:p>
    <w:p>
      <w:pPr>
        <w:pStyle w:val="ListParagraph"/>
        <w:shd w:val="clear" w:color="auto" w:fill="FFFFFF"/>
        <w:tabs>
          <w:tab w:val="clear" w:pos="709"/>
          <w:tab w:val="left" w:pos="1418" w:leader="none"/>
        </w:tabs>
        <w:ind w:left="0" w:firstLine="907"/>
        <w:jc w:val="both"/>
        <w:rPr/>
      </w:pPr>
      <w:r>
        <w:rPr/>
        <w:t xml:space="preserve">2.3.25. 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9"/>
          <w:tab w:val="left" w:pos="1418" w:leader="none"/>
        </w:tabs>
        <w:ind w:left="0" w:hanging="0"/>
        <w:jc w:val="both"/>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shd w:val="clear" w:color="auto" w:fill="FFFFFF"/>
        <w:tabs>
          <w:tab w:val="clear" w:pos="709"/>
          <w:tab w:val="left" w:pos="1418" w:leader="none"/>
        </w:tabs>
        <w:ind w:left="0" w:firstLine="964"/>
        <w:jc w:val="both"/>
        <w:rPr>
          <w:bCs/>
        </w:rPr>
      </w:pPr>
      <w:r>
        <w:rPr>
          <w:bCs/>
        </w:rPr>
        <w:t>2.3.26.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shd w:val="clear" w:color="auto" w:fill="FFFFFF"/>
        <w:tabs>
          <w:tab w:val="clear" w:pos="709"/>
          <w:tab w:val="left" w:pos="1418" w:leader="none"/>
        </w:tabs>
        <w:ind w:left="0" w:firstLine="964"/>
        <w:jc w:val="both"/>
        <w:rPr>
          <w:bCs/>
        </w:rPr>
      </w:pPr>
      <w:r>
        <w:rPr>
          <w:bCs/>
        </w:rPr>
        <w:t xml:space="preserve">2.3.27.Освободить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018" w:leader="none"/>
        </w:tabs>
        <w:ind w:left="0" w:hanging="0"/>
        <w:jc w:val="both"/>
        <w:rPr>
          <w:bCs/>
        </w:rPr>
      </w:pPr>
      <w:r>
        <w:rPr>
          <w:bCs/>
        </w:rPr>
        <w:tab/>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shd w:val="clear" w:color="auto" w:fill="FFFFFF"/>
        <w:tabs>
          <w:tab w:val="clear" w:pos="709"/>
          <w:tab w:val="left" w:pos="1418" w:leader="none"/>
        </w:tabs>
        <w:ind w:left="0" w:firstLine="964"/>
        <w:jc w:val="both"/>
        <w:rPr>
          <w:bCs/>
        </w:rPr>
      </w:pPr>
      <w:r>
        <w:rPr>
          <w:bCs/>
        </w:rPr>
        <w:t>2.3.28.В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shd w:val="clear" w:color="auto" w:fill="FFFFFF"/>
        <w:tabs>
          <w:tab w:val="clear" w:pos="709"/>
          <w:tab w:val="left" w:pos="1418" w:leader="none"/>
        </w:tabs>
        <w:ind w:left="0" w:firstLine="709"/>
        <w:jc w:val="both"/>
        <w:rPr/>
      </w:pPr>
      <w:r>
        <w:rPr>
          <w:color w:val="000000"/>
        </w:rPr>
        <w:t>2.3.29. Предоставить Заказчику банковские гарантии в соответствии с разделом 6 Договора.</w:t>
      </w:r>
    </w:p>
    <w:p>
      <w:pPr>
        <w:pStyle w:val="ListParagraph"/>
        <w:shd w:val="clear" w:color="auto" w:fill="FFFFFF"/>
        <w:tabs>
          <w:tab w:val="clear" w:pos="709"/>
          <w:tab w:val="left" w:pos="1418" w:leader="none"/>
        </w:tabs>
        <w:ind w:left="0" w:firstLine="709"/>
        <w:jc w:val="both"/>
        <w:rPr>
          <w:color w:val="000000"/>
          <w:highlight w:val="lightGray"/>
        </w:rPr>
      </w:pPr>
      <w:r>
        <w:rPr>
          <w:color w:val="000000"/>
        </w:rPr>
        <w:t xml:space="preserve">2.3.30. </w:t>
      </w: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shd w:val="clear" w:color="auto" w:fill="FFFFFF"/>
        <w:tabs>
          <w:tab w:val="clear" w:pos="709"/>
          <w:tab w:val="left" w:pos="1418" w:leader="none"/>
        </w:tabs>
        <w:ind w:left="0" w:firstLine="709"/>
        <w:jc w:val="both"/>
        <w:rPr/>
      </w:pPr>
      <w:r>
        <w:rPr>
          <w:color w:val="000000"/>
        </w:rPr>
        <w:t xml:space="preserve">2.3.31. </w:t>
      </w: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2"/>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9"/>
          <w:tab w:val="left" w:pos="851" w:leader="none"/>
        </w:tabs>
        <w:ind w:left="0" w:firstLine="709"/>
        <w:jc w:val="both"/>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___ (____________) процентов от Цены Договора, неся при этом ответственность за действия Субподрядчиков, как за свои собственные.</w:t>
      </w:r>
    </w:p>
    <w:p>
      <w:pPr>
        <w:pStyle w:val="ListParagraph"/>
        <w:shd w:val="clear" w:color="auto" w:fill="FFFFFF"/>
        <w:tabs>
          <w:tab w:val="clear" w:pos="709"/>
          <w:tab w:val="left" w:pos="851" w:leader="none"/>
        </w:tabs>
        <w:ind w:left="0" w:hanging="0"/>
        <w:jc w:val="both"/>
        <w:rPr/>
      </w:pPr>
      <w:r>
        <w:rPr>
          <w:bCs/>
        </w:rPr>
        <w:t xml:space="preserve">-При согласовании привлечения Субподрядчика Подрядчик представляет Заказчику: </w:t>
      </w:r>
    </w:p>
    <w:p>
      <w:pPr>
        <w:pStyle w:val="ListParagraph"/>
        <w:shd w:val="clear" w:color="auto" w:fill="FFFFFF"/>
        <w:tabs>
          <w:tab w:val="left" w:pos="709" w:leader="none"/>
          <w:tab w:val="left" w:pos="1418" w:leader="none"/>
        </w:tabs>
        <w:ind w:left="0" w:hanging="0"/>
        <w:jc w:val="both"/>
        <w:rPr/>
      </w:pPr>
      <w:r>
        <w:rPr>
          <w:bCs/>
        </w:rPr>
        <w:t>-проект договора с Субподрядчиком;</w:t>
      </w:r>
    </w:p>
    <w:p>
      <w:pPr>
        <w:pStyle w:val="ListParagraph"/>
        <w:shd w:val="clear" w:color="auto" w:fill="FFFFFF"/>
        <w:tabs>
          <w:tab w:val="left" w:pos="709" w:leader="none"/>
          <w:tab w:val="left" w:pos="1418" w:leader="none"/>
        </w:tabs>
        <w:ind w:left="0" w:hanging="0"/>
        <w:jc w:val="both"/>
        <w:rPr/>
      </w:pPr>
      <w:r>
        <w:rPr>
          <w:bCs/>
        </w:rPr>
        <w:t>-сведения об объемах выполнения работ Субподрядчиком;</w:t>
      </w:r>
    </w:p>
    <w:p>
      <w:pPr>
        <w:pStyle w:val="ListParagraph"/>
        <w:tabs>
          <w:tab w:val="left" w:pos="709" w:leader="none"/>
        </w:tabs>
        <w:ind w:left="0" w:hanging="0"/>
        <w:jc w:val="both"/>
        <w:rPr/>
      </w:pPr>
      <w:r>
        <w:rPr>
          <w:bCs/>
        </w:rPr>
        <w:t>-пофамильный перечень персонала Субподрядчика, который будет задействован при производстве Работ;</w:t>
      </w:r>
    </w:p>
    <w:p>
      <w:pPr>
        <w:pStyle w:val="ListParagraph"/>
        <w:shd w:val="clear" w:color="auto" w:fill="FFFFFF"/>
        <w:tabs>
          <w:tab w:val="clear" w:pos="709"/>
          <w:tab w:val="left" w:pos="855" w:leader="none"/>
        </w:tabs>
        <w:ind w:left="0" w:hanging="0"/>
        <w:jc w:val="both"/>
        <w:rPr>
          <w:bCs/>
        </w:rPr>
      </w:pPr>
      <w:r>
        <w:rPr>
          <w:bCs/>
          <w:color w:val="000000" w:themeColor="text1"/>
          <w:highlight w:val="white"/>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9"/>
          <w:tab w:val="left" w:pos="1418" w:leader="none"/>
        </w:tabs>
        <w:ind w:left="3340" w:hanging="0"/>
        <w:jc w:val="both"/>
        <w:rPr>
          <w:bCs/>
        </w:rPr>
      </w:pPr>
      <w:r>
        <w:rPr>
          <w:bCs/>
        </w:rPr>
      </w:r>
    </w:p>
    <w:p>
      <w:pPr>
        <w:pStyle w:val="Normal"/>
        <w:shd w:val="clear" w:color="auto" w:fill="FFFFFF"/>
        <w:spacing w:lineRule="auto" w:line="240"/>
        <w:ind w:hanging="0"/>
        <w:jc w:val="center"/>
        <w:rPr>
          <w:color w:val="000000" w:themeColor="text1"/>
          <w:sz w:val="24"/>
          <w:szCs w:val="24"/>
          <w:highlight w:val="white"/>
        </w:rPr>
      </w:pPr>
      <w:r>
        <w:rPr>
          <w:b/>
          <w:bCs/>
          <w:color w:val="000000" w:themeColor="text1"/>
          <w:sz w:val="24"/>
          <w:szCs w:val="24"/>
          <w:highlight w:val="white"/>
        </w:rPr>
        <w:t>3. Цена Договора и порядок расчетов</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3.1. Цена </w:t>
      </w:r>
      <w:r>
        <w:rPr>
          <w:color w:val="000000" w:themeColor="text1"/>
          <w:sz w:val="24"/>
          <w:szCs w:val="24"/>
          <w:highlight w:val="white"/>
        </w:rPr>
        <w:t xml:space="preserve">Договора </w:t>
      </w:r>
      <w:r>
        <w:rPr>
          <w:bCs/>
          <w:color w:val="000000" w:themeColor="text1"/>
          <w:sz w:val="24"/>
          <w:szCs w:val="24"/>
          <w:highlight w:val="white"/>
        </w:rPr>
        <w:t>в соответствии со Сводным сметным расчетом № ______ (Приложение № 3 к Договору) является предельной и составляет ___________</w:t>
      </w:r>
      <w:r>
        <w:rPr>
          <w:color w:val="000000" w:themeColor="text1"/>
          <w:sz w:val="24"/>
          <w:szCs w:val="24"/>
          <w:highlight w:val="white"/>
        </w:rPr>
        <w:t xml:space="preserve"> </w:t>
      </w:r>
      <w:r>
        <w:rPr>
          <w:bCs/>
          <w:color w:val="000000" w:themeColor="text1"/>
          <w:sz w:val="24"/>
          <w:szCs w:val="24"/>
          <w:highlight w:val="white"/>
        </w:rPr>
        <w:t xml:space="preserve">(_______________________) рублей __ копеек, </w:t>
      </w:r>
      <w:r>
        <w:rPr>
          <w:color w:val="000000" w:themeColor="text1"/>
          <w:sz w:val="24"/>
          <w:szCs w:val="24"/>
          <w:highlight w:val="white"/>
        </w:rPr>
        <w:t>при этом НДС исчисляется дополнительно по ставке, установленной статьей 164 НК РФ на дату составления первичных учетных документов.</w:t>
      </w:r>
    </w:p>
    <w:p>
      <w:pPr>
        <w:pStyle w:val="Normal"/>
        <w:shd w:val="clear" w:color="auto" w:fill="FFFFFF"/>
        <w:tabs>
          <w:tab w:val="clear" w:pos="709"/>
          <w:tab w:val="left" w:pos="1418" w:leader="none"/>
        </w:tabs>
        <w:spacing w:lineRule="auto" w:line="240"/>
        <w:ind w:firstLine="709"/>
        <w:rPr>
          <w:bCs/>
          <w:color w:val="000000" w:themeColor="text1"/>
          <w:highlight w:val="white"/>
        </w:rPr>
      </w:pPr>
      <w:r>
        <w:rPr>
          <w:bCs/>
          <w:color w:val="000000" w:themeColor="text1"/>
          <w:sz w:val="24"/>
          <w:szCs w:val="24"/>
          <w:highlight w:val="white"/>
        </w:rPr>
        <w:t>3.1.1. Предельная цена на Проектные работы составляет ______ (__________________) рублей ___ копеек,</w:t>
      </w:r>
      <w:r>
        <w:rPr>
          <w:bCs/>
          <w:color w:val="000000" w:themeColor="text1"/>
          <w:sz w:val="24"/>
          <w:szCs w:val="24"/>
        </w:rPr>
        <w:t xml:space="preserve"> в том числе НДС  ___%______ (___________________) рублей ___ копеек.) составляет _</w:t>
      </w:r>
      <w:r>
        <w:rPr>
          <w:bCs/>
          <w:color w:val="000000" w:themeColor="text1"/>
          <w:sz w:val="24"/>
          <w:szCs w:val="24"/>
          <w:highlight w:val="white"/>
        </w:rPr>
        <w:t>______ (_______________) рублей __ копеек, при этом НДС исчисляется дополнительно по ставке, установленной статьей 164 НК РФ на дату составления первичных учетных документов.</w:t>
      </w:r>
    </w:p>
    <w:p>
      <w:pPr>
        <w:pStyle w:val="Normal"/>
        <w:shd w:val="clear" w:color="auto" w:fill="FFFFFF"/>
        <w:tabs>
          <w:tab w:val="clear" w:pos="709"/>
          <w:tab w:val="left" w:pos="1418" w:leader="none"/>
        </w:tabs>
        <w:spacing w:lineRule="auto" w:line="240"/>
        <w:ind w:firstLine="709"/>
        <w:rPr>
          <w:bCs/>
          <w:color w:val="000000" w:themeColor="text1"/>
          <w:highlight w:val="white"/>
        </w:rPr>
      </w:pPr>
      <w:r>
        <w:rPr>
          <w:color w:val="000000" w:themeColor="text1"/>
          <w:sz w:val="24"/>
          <w:szCs w:val="24"/>
          <w:highlight w:val="white"/>
        </w:rPr>
        <w:t xml:space="preserve">3.1.2. Предельная </w:t>
      </w:r>
      <w:r>
        <w:rPr>
          <w:bCs/>
          <w:color w:val="000000" w:themeColor="text1"/>
          <w:sz w:val="24"/>
          <w:szCs w:val="24"/>
          <w:highlight w:val="white"/>
        </w:rPr>
        <w:t xml:space="preserve">цена Работ (без учёта </w:t>
      </w:r>
      <w:r>
        <w:rPr>
          <w:bCs/>
          <w:color w:val="000000" w:themeColor="text1"/>
          <w:sz w:val="24"/>
          <w:szCs w:val="24"/>
        </w:rPr>
        <w:t>Проектных работ</w:t>
      </w:r>
      <w:r>
        <w:rPr>
          <w:bCs/>
          <w:color w:val="000000" w:themeColor="text1"/>
          <w:sz w:val="24"/>
          <w:szCs w:val="24"/>
          <w:highlight w:val="white"/>
        </w:rPr>
        <w:t xml:space="preserve">, оборудования, Лимита на непредвиденные работы и затраты, лимита на командировочные затраты) составляет </w:t>
      </w:r>
      <w:r>
        <w:rPr>
          <w:bCs/>
          <w:color w:val="000000" w:themeColor="text1"/>
          <w:sz w:val="24"/>
          <w:szCs w:val="24"/>
        </w:rPr>
        <w:t xml:space="preserve">_______ (_______________) рублей ___ копеек, в том числе НДС  ___%______ (___________________) рублей ___ копеек.) составляет </w:t>
      </w:r>
      <w:r>
        <w:rPr>
          <w:color w:val="000000" w:themeColor="text1"/>
          <w:sz w:val="24"/>
          <w:szCs w:val="24"/>
        </w:rPr>
        <w:t xml:space="preserve">_______ </w:t>
      </w:r>
      <w:r>
        <w:rPr>
          <w:bCs/>
          <w:color w:val="000000" w:themeColor="text1"/>
          <w:sz w:val="24"/>
          <w:szCs w:val="24"/>
        </w:rPr>
        <w:t>(</w:t>
      </w:r>
      <w:r>
        <w:rPr>
          <w:color w:val="000000" w:themeColor="text1"/>
          <w:sz w:val="24"/>
          <w:szCs w:val="24"/>
        </w:rPr>
        <w:t>_______________</w:t>
      </w:r>
      <w:r>
        <w:rPr>
          <w:bCs/>
          <w:color w:val="000000" w:themeColor="text1"/>
          <w:sz w:val="24"/>
          <w:szCs w:val="24"/>
        </w:rPr>
        <w:t xml:space="preserve">) рублей </w:t>
      </w:r>
      <w:r>
        <w:rPr>
          <w:color w:val="000000" w:themeColor="text1"/>
          <w:sz w:val="24"/>
          <w:szCs w:val="24"/>
        </w:rPr>
        <w:t>__</w:t>
      </w:r>
      <w:r>
        <w:rPr>
          <w:bCs/>
          <w:color w:val="000000" w:themeColor="text1"/>
          <w:sz w:val="24"/>
          <w:szCs w:val="24"/>
        </w:rPr>
        <w:t xml:space="preserve"> копеек, </w:t>
      </w:r>
      <w:r>
        <w:rPr>
          <w:color w:val="000000" w:themeColor="text1"/>
          <w:sz w:val="24"/>
          <w:szCs w:val="24"/>
        </w:rPr>
        <w:t xml:space="preserve">при этом </w:t>
      </w:r>
      <w:r>
        <w:rPr>
          <w:color w:val="000000" w:themeColor="text1"/>
          <w:sz w:val="24"/>
          <w:szCs w:val="24"/>
          <w:highlight w:val="white"/>
        </w:rPr>
        <w:t>НДС исчисляется дополнительно по ставке, установленной статьей 164 НК РФ на дату составления первичных учетных документов.</w:t>
      </w:r>
    </w:p>
    <w:p>
      <w:pPr>
        <w:pStyle w:val="Normal"/>
        <w:shd w:val="clear" w:color="auto" w:fill="FFFFFF"/>
        <w:tabs>
          <w:tab w:val="clear" w:pos="709"/>
          <w:tab w:val="left" w:pos="1418" w:leader="none"/>
        </w:tabs>
        <w:spacing w:lineRule="auto" w:line="240"/>
        <w:ind w:firstLine="709"/>
        <w:rPr>
          <w:bCs/>
          <w:color w:val="000000" w:themeColor="text1"/>
          <w:highlight w:val="white"/>
        </w:rPr>
      </w:pPr>
      <w:r>
        <w:rPr>
          <w:bCs/>
          <w:color w:val="000000" w:themeColor="text1"/>
          <w:sz w:val="24"/>
          <w:szCs w:val="24"/>
          <w:highlight w:val="white"/>
        </w:rPr>
        <w:t>3.1.3. Предельная цена на оборудование составляет _______ (_______________) рублей ___ копеек, в том числе НДС  ___%______ (___________________) рублей ___ копеек.) составляет _______ (_______________) рублей __ копеек, при этом НДС исчисляется дополнительно по ставке, установленной статьей 164 НК РФ на дату составления первичных учетных документов.</w:t>
      </w:r>
    </w:p>
    <w:p>
      <w:pPr>
        <w:pStyle w:val="Normal"/>
        <w:shd w:val="clear" w:color="auto" w:fill="FFFFFF"/>
        <w:tabs>
          <w:tab w:val="clear" w:pos="709"/>
          <w:tab w:val="left" w:pos="1418" w:leader="none"/>
        </w:tabs>
        <w:spacing w:lineRule="auto" w:line="240"/>
        <w:ind w:firstLine="709"/>
        <w:rPr>
          <w:bCs/>
          <w:color w:val="000000" w:themeColor="text1"/>
          <w:highlight w:val="white"/>
        </w:rPr>
      </w:pPr>
      <w:r>
        <w:rPr>
          <w:bCs/>
          <w:color w:val="000000" w:themeColor="text1"/>
          <w:sz w:val="24"/>
          <w:szCs w:val="24"/>
          <w:highlight w:val="white"/>
        </w:rPr>
        <w:t>3.1.4. Лимит на командировочные расходы</w:t>
      </w:r>
      <w:r>
        <w:rPr>
          <w:bCs/>
          <w:color w:val="000000" w:themeColor="text1"/>
          <w:sz w:val="24"/>
          <w:szCs w:val="24"/>
        </w:rPr>
        <w:t xml:space="preserve"> составляет ______ (__________________) рублей ___ копеек, в том числе НДС  ___%______ (___________________) рублей ___ копеек.) составляет _______ (_______________) рублей __ копеек, при этом </w:t>
      </w:r>
      <w:r>
        <w:rPr>
          <w:bCs/>
          <w:color w:val="000000" w:themeColor="text1"/>
          <w:sz w:val="24"/>
          <w:szCs w:val="24"/>
          <w:highlight w:val="white"/>
        </w:rPr>
        <w:t>НДС исчисляется дополнительно по ставке, установленной статьей 164 НК РФ на дату составления первичных учетных документов.</w:t>
      </w:r>
    </w:p>
    <w:p>
      <w:pPr>
        <w:pStyle w:val="Normal"/>
        <w:shd w:val="clear" w:color="auto" w:fill="FFFFFF"/>
        <w:tabs>
          <w:tab w:val="clear" w:pos="709"/>
          <w:tab w:val="left" w:pos="1418" w:leader="none"/>
        </w:tabs>
        <w:spacing w:lineRule="auto" w:line="240"/>
        <w:ind w:firstLine="709"/>
        <w:rPr>
          <w:bCs/>
          <w:color w:val="000000" w:themeColor="text1"/>
          <w:highlight w:val="white"/>
        </w:rPr>
      </w:pPr>
      <w:r>
        <w:rPr>
          <w:bCs/>
          <w:color w:val="000000" w:themeColor="text1"/>
          <w:sz w:val="24"/>
          <w:szCs w:val="24"/>
          <w:highlight w:val="white"/>
        </w:rPr>
        <w:t xml:space="preserve">3.1.5. Лимит на непредвиденные работы составляет ______ (__________________) рублей ___ копеек, </w:t>
      </w:r>
      <w:r>
        <w:rPr>
          <w:bCs/>
          <w:color w:val="000000" w:themeColor="text1"/>
          <w:sz w:val="24"/>
          <w:szCs w:val="24"/>
        </w:rPr>
        <w:t xml:space="preserve">в том числе НДС  ___%______ (___________________) рублей ___ копеек.) составляет _______ (_______________) рублей __ копеек, при этом </w:t>
      </w:r>
      <w:r>
        <w:rPr>
          <w:bCs/>
          <w:color w:val="000000" w:themeColor="text1"/>
          <w:sz w:val="24"/>
          <w:szCs w:val="24"/>
          <w:highlight w:val="white"/>
        </w:rPr>
        <w:t>НДС исчисляется дополнительно по ставке, установленной статьей 164 НК РФ на дату составления первичных учетных документов.</w:t>
      </w:r>
    </w:p>
    <w:p>
      <w:pPr>
        <w:pStyle w:val="ListParagraph"/>
        <w:ind w:left="0" w:firstLine="709"/>
        <w:jc w:val="both"/>
        <w:rPr>
          <w:rFonts w:cs="Times New Roman"/>
          <w:color w:val="000000" w:themeColor="text1"/>
          <w:highlight w:val="white"/>
        </w:rPr>
      </w:pPr>
      <w:r>
        <w:rPr>
          <w:rFonts w:eastAsia="Times New Roman" w:cs="Times New Roman"/>
          <w:color w:val="000000"/>
          <w:highlight w:val="white"/>
        </w:rPr>
        <w:t>Локальные сметные расчеты на Проектные работы подлежат согласованию Сторонами не позднее истечения 30 (тридцати) календарных дней с даты вступления Договора в силу. Локальные сметные расчеты на Работы, Спецификация Оборудования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Спецификации оборудования Стороны обязаны уточнить Сводный сметный расчет с приложениями (Приложение № 3 к Договору) путем заключения дополнительного соглашения к Договору. </w:t>
      </w:r>
    </w:p>
    <w:p>
      <w:pPr>
        <w:pStyle w:val="ListParagraph"/>
        <w:ind w:left="0" w:firstLine="709"/>
        <w:jc w:val="both"/>
        <w:rPr>
          <w:color w:val="000000" w:themeColor="text1"/>
          <w:highlight w:val="white"/>
        </w:rPr>
      </w:pPr>
      <w:r>
        <w:rPr>
          <w:color w:val="000000" w:themeColor="text1"/>
          <w:highlight w:val="white"/>
        </w:rPr>
        <w:t>3.2. Цена Договора включает в себя прибыль Подрядчика, а также все расходы и затраты Подрядчика на:</w:t>
      </w:r>
    </w:p>
    <w:p>
      <w:pPr>
        <w:pStyle w:val="ListParagraph"/>
        <w:ind w:left="0" w:firstLine="709"/>
        <w:jc w:val="both"/>
        <w:rPr>
          <w:color w:val="000000" w:themeColor="text1"/>
          <w:highlight w:val="white"/>
        </w:rPr>
      </w:pPr>
      <w:r>
        <w:rPr>
          <w:bCs/>
          <w:color w:val="000000" w:themeColor="text1"/>
          <w:highlight w:val="white"/>
        </w:rPr>
        <w:t>3.2.1. Приобретение Материально-технических ресурсов, Оборудования, его транспортировку до территории Заказчика (в том числе перемещение по территории Заказчика), погрузку, разгрузку, стоимость тары и упаковки, монтаж и пусконаладочные работы,</w:t>
      </w:r>
      <w:r>
        <w:rPr>
          <w:color w:val="000000" w:themeColor="text1"/>
          <w:highlight w:val="white"/>
        </w:rPr>
        <w:t xml:space="preserve"> </w:t>
      </w:r>
      <w:r>
        <w:rPr>
          <w:bCs/>
          <w:color w:val="000000" w:themeColor="text1"/>
          <w:highlight w:val="white"/>
        </w:rPr>
        <w:t>включая стоимость необходимых для эксплуатации Оборудования лицензий</w:t>
      </w:r>
      <w:r>
        <w:rPr>
          <w:color w:val="000000" w:themeColor="text1"/>
          <w:highlight w:val="white"/>
        </w:rPr>
        <w:t>;</w:t>
      </w:r>
    </w:p>
    <w:p>
      <w:pPr>
        <w:pStyle w:val="ListParagraph"/>
        <w:ind w:left="0" w:firstLine="709"/>
        <w:jc w:val="both"/>
        <w:rPr>
          <w:color w:val="000000" w:themeColor="text1"/>
          <w:highlight w:val="white"/>
        </w:rPr>
      </w:pPr>
      <w:r>
        <w:rPr>
          <w:color w:val="000000" w:themeColor="text1"/>
          <w:highlight w:val="white"/>
        </w:rPr>
        <w:t>3.2.2. Заработную плату, накладные и командировочные расходы, перемещение и размещение персонала Подрядчика;</w:t>
      </w:r>
    </w:p>
    <w:p>
      <w:pPr>
        <w:pStyle w:val="ListParagraph"/>
        <w:ind w:left="0" w:firstLine="709"/>
        <w:jc w:val="both"/>
        <w:rPr>
          <w:color w:val="000000" w:themeColor="text1"/>
          <w:highlight w:val="white"/>
        </w:rPr>
      </w:pPr>
      <w:r>
        <w:rPr>
          <w:color w:val="000000" w:themeColor="text1"/>
          <w:highlight w:val="white"/>
        </w:rPr>
        <w:t xml:space="preserve">3.2.3. 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ind w:left="0" w:firstLine="709"/>
        <w:jc w:val="both"/>
        <w:rPr>
          <w:color w:val="000000" w:themeColor="text1"/>
          <w:highlight w:val="white"/>
        </w:rPr>
      </w:pPr>
      <w:r>
        <w:rPr>
          <w:color w:val="000000" w:themeColor="text1"/>
          <w:highlight w:val="white"/>
        </w:rPr>
        <w:t>3.2.4. Все прочие затраты и расходы Подрядчика, связанные выполнением Работ и исполнением иных обязательств по Договору, которые могут возникнуть у Подрядчика в течение срока действия Договора.</w:t>
      </w:r>
    </w:p>
    <w:p>
      <w:pPr>
        <w:pStyle w:val="ListParagraph"/>
        <w:ind w:left="0" w:firstLine="709"/>
        <w:jc w:val="both"/>
        <w:rPr>
          <w:color w:val="000000" w:themeColor="text1"/>
          <w:highlight w:val="white"/>
        </w:rPr>
      </w:pPr>
      <w:r>
        <w:rPr>
          <w:color w:val="000000" w:themeColor="text1"/>
          <w:highlight w:val="white"/>
        </w:rPr>
        <w:t xml:space="preserve">3.3. </w:t>
      </w:r>
      <w:r>
        <w:rPr>
          <w:bCs/>
          <w:color w:val="000000" w:themeColor="text1"/>
          <w:highlight w:val="white"/>
        </w:rPr>
        <w:t>Расчеты по Договору осуществляются в валюте Российской Федерации</w:t>
      </w:r>
      <w:r>
        <w:rPr>
          <w:color w:val="000000" w:themeColor="text1"/>
          <w:highlight w:val="white"/>
        </w:rPr>
        <w:t xml:space="preserve">. </w:t>
      </w:r>
    </w:p>
    <w:p>
      <w:pPr>
        <w:pStyle w:val="ListParagraph"/>
        <w:ind w:left="0" w:firstLine="709"/>
        <w:jc w:val="both"/>
        <w:rPr>
          <w:color w:val="000000" w:themeColor="text1"/>
          <w:highlight w:val="white"/>
        </w:rPr>
      </w:pPr>
      <w:r>
        <w:rPr>
          <w:color w:val="000000" w:themeColor="text1"/>
          <w:highlight w:val="white"/>
        </w:rPr>
        <w:t xml:space="preserve">3.4. </w:t>
      </w:r>
      <w:bookmarkStart w:id="13" w:name="_Ref361858588"/>
      <w:bookmarkStart w:id="14" w:name="_Ref361834675"/>
      <w:r>
        <w:rPr>
          <w:bCs/>
          <w:color w:val="000000" w:themeColor="text1"/>
          <w:highlight w:val="white"/>
        </w:rPr>
        <w:t>Оплата по Договору осуществляется Заказчиком в следующем порядке:</w:t>
      </w:r>
      <w:bookmarkEnd w:id="13"/>
      <w:bookmarkEnd w:id="14"/>
      <w:r>
        <w:rPr>
          <w:bCs/>
          <w:color w:val="000000" w:themeColor="text1"/>
          <w:highlight w:val="white"/>
        </w:rPr>
        <w:t xml:space="preserve"> </w:t>
      </w:r>
    </w:p>
    <w:p>
      <w:pPr>
        <w:pStyle w:val="ListParagraph"/>
        <w:ind w:left="0" w:firstLine="709"/>
        <w:jc w:val="both"/>
        <w:rPr>
          <w:color w:val="000000" w:themeColor="text1"/>
          <w:highlight w:val="white"/>
        </w:rPr>
      </w:pPr>
      <w:r>
        <w:rPr>
          <w:color w:val="000000" w:themeColor="text1"/>
          <w:highlight w:val="white"/>
        </w:rPr>
        <w:t>3.4.1. 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p>
    <w:p>
      <w:pPr>
        <w:pStyle w:val="ListParagraph"/>
        <w:ind w:left="0" w:firstLine="709"/>
        <w:jc w:val="both"/>
        <w:rPr>
          <w:color w:val="000000" w:themeColor="text1"/>
          <w:highlight w:val="white"/>
        </w:rPr>
      </w:pPr>
      <w:r>
        <w:rPr>
          <w:color w:val="000000" w:themeColor="text1"/>
          <w:highlight w:val="white"/>
        </w:rPr>
        <w:t xml:space="preserve">3.4.2. Авансовые платежи в счет стоимости цены Проектных Работ в размере </w:t>
      </w:r>
      <w:r>
        <w:rPr>
          <w:color w:val="000000" w:themeColor="text1"/>
          <w:highlight w:val="white"/>
        </w:rPr>
        <w:t>1</w:t>
      </w:r>
      <w:r>
        <w:rPr>
          <w:color w:val="000000" w:themeColor="text1"/>
          <w:highlight w:val="white"/>
        </w:rPr>
        <w:t>0% (</w:t>
      </w:r>
      <w:r>
        <w:rPr>
          <w:color w:val="000000" w:themeColor="text1"/>
          <w:highlight w:val="white"/>
        </w:rPr>
        <w:t>десять</w:t>
      </w:r>
      <w:r>
        <w:rPr>
          <w:color w:val="000000" w:themeColor="text1"/>
          <w:highlight w:val="white"/>
        </w:rPr>
        <w:t xml:space="preserve"> процентов) от стоимости Проектных Работ осуществляется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и с учетом пунктов 3.4.1, 3.4.8. Договора.</w:t>
      </w:r>
    </w:p>
    <w:p>
      <w:pPr>
        <w:pStyle w:val="ListParagraph"/>
        <w:ind w:left="0" w:firstLine="709"/>
        <w:jc w:val="both"/>
        <w:rPr>
          <w:color w:val="000000" w:themeColor="text1"/>
          <w:highlight w:val="white"/>
        </w:rPr>
      </w:pPr>
      <w:r>
        <w:rPr>
          <w:color w:val="000000" w:themeColor="text1"/>
          <w:highlight w:val="white"/>
        </w:rPr>
        <w:t>3.4.3. Авансовые платежи в счет стоимости цены Работ (кроме Проектных работ) в размере 10% (десяти процентов) от стоимости Работ  осуществляется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и с учетом пунктов 3.4.1, 3.4.8 Договора.</w:t>
      </w:r>
    </w:p>
    <w:p>
      <w:pPr>
        <w:pStyle w:val="ListParagraph"/>
        <w:ind w:left="0" w:firstLine="709"/>
        <w:jc w:val="both"/>
        <w:rPr>
          <w:color w:val="000000" w:themeColor="text1"/>
          <w:highlight w:val="white"/>
        </w:rPr>
      </w:pPr>
      <w:r>
        <w:rPr>
          <w:color w:val="000000" w:themeColor="text1"/>
          <w:highlight w:val="white"/>
        </w:rPr>
        <w:t>3.4.4. Авансовые платежи за Оборудование в размере 30% (тридцати) процентов от стоимости Оборудования осуществляются в течение 30 (тридцати) календарных дней с даты получения Заказчиком счета, выставленного Подрядчиком, и получения Заказчиком уведомления от Подрядчика о начале изготовления  Оборудования, но не ранее чем за 30 (тридцать) календарных дней до плановой даты начала изготовления Оборудования, и с учетом пунктов 3.4.1, 3.4.8 Договора.</w:t>
      </w:r>
    </w:p>
    <w:p>
      <w:pPr>
        <w:pStyle w:val="ListParagraph"/>
        <w:ind w:left="0" w:firstLine="709"/>
        <w:jc w:val="both"/>
        <w:rPr>
          <w:color w:val="000000" w:themeColor="text1"/>
          <w:highlight w:val="white"/>
        </w:rPr>
      </w:pPr>
      <w:r>
        <w:rPr>
          <w:color w:val="000000" w:themeColor="text1"/>
          <w:highlight w:val="white"/>
        </w:rPr>
        <w:t xml:space="preserve">3.4.5. Последующие платежи в размере </w:t>
      </w:r>
      <w:r>
        <w:rPr>
          <w:color w:val="000000" w:themeColor="text1"/>
          <w:highlight w:val="white"/>
        </w:rPr>
        <w:t>9</w:t>
      </w:r>
      <w:r>
        <w:rPr>
          <w:color w:val="000000" w:themeColor="text1"/>
          <w:highlight w:val="white"/>
        </w:rPr>
        <w:t>0% (</w:t>
      </w:r>
      <w:r>
        <w:rPr>
          <w:color w:val="000000" w:themeColor="text1"/>
          <w:highlight w:val="white"/>
        </w:rPr>
        <w:t>девяноста</w:t>
      </w:r>
      <w:r>
        <w:rPr>
          <w:color w:val="000000" w:themeColor="text1"/>
          <w:highlight w:val="white"/>
        </w:rPr>
        <w:t xml:space="preserve"> процентов) от стоимости выполненных Проектных работ выплачиваются в течение 45 (сорока пяти) календарных дней / </w:t>
      </w:r>
      <w:r>
        <w:rPr>
          <w:color w:val="000000" w:themeColor="text1"/>
          <w:szCs w:val="22"/>
          <w:highlight w:val="white"/>
          <w:shd w:fill="FFFFFF" w:val="clear"/>
        </w:rPr>
        <w:t xml:space="preserve">7 (семи) рабочих дней (если победитель торгов является МСП) </w:t>
      </w:r>
      <w:r>
        <w:rPr>
          <w:color w:val="000000" w:themeColor="text1"/>
          <w:highlight w:val="white"/>
        </w:rPr>
        <w:t xml:space="preserve">с даты подписания Сторонами документов, указанных в пункте 4.1 Договора, на основании счёта, выставленного Подрядчиком, и с учетом пункта 3.4.8 Договора. </w:t>
      </w:r>
    </w:p>
    <w:p>
      <w:pPr>
        <w:pStyle w:val="ListParagraph"/>
        <w:ind w:left="0" w:firstLine="709"/>
        <w:jc w:val="both"/>
        <w:rPr>
          <w:color w:val="000000" w:themeColor="text1"/>
          <w:highlight w:val="white"/>
        </w:rPr>
      </w:pPr>
      <w:r>
        <w:rPr>
          <w:color w:val="000000" w:themeColor="text1"/>
          <w:highlight w:val="white"/>
        </w:rPr>
        <w:t xml:space="preserve">3.4.6. Последующие платежи в размере 90% (девяноста процентов) от стоимости выполненных Работ (кроме Проектных работ) выплачиваются в течение 45 (сорока пяти) календарных дней / </w:t>
      </w:r>
      <w:r>
        <w:rPr>
          <w:color w:val="000000" w:themeColor="text1"/>
          <w:szCs w:val="22"/>
          <w:highlight w:val="white"/>
          <w:shd w:fill="FFFFFF" w:val="clear"/>
        </w:rPr>
        <w:t xml:space="preserve">7 (семи) рабочих дней (если победитель торгов является МСП) </w:t>
      </w:r>
      <w:r>
        <w:rPr>
          <w:color w:val="000000" w:themeColor="text1"/>
          <w:highlight w:val="white"/>
        </w:rPr>
        <w:t>с даты подписания Сторонами документов, указанных в пункте 4.2. Договора, на основании счёта, выставленного Подрядчиком, и с учетом пункта 3.4.8 Договора.</w:t>
      </w:r>
    </w:p>
    <w:p>
      <w:pPr>
        <w:pStyle w:val="ListParagraph"/>
        <w:ind w:left="0" w:firstLine="709"/>
        <w:jc w:val="both"/>
        <w:rPr>
          <w:color w:val="000000" w:themeColor="text1"/>
          <w:highlight w:val="white"/>
        </w:rPr>
      </w:pPr>
      <w:r>
        <w:rPr>
          <w:color w:val="000000" w:themeColor="text1"/>
          <w:highlight w:val="white"/>
        </w:rPr>
        <w:t>3.4.7. Последующие платежи в размере 70% (семидесяти процентов) от стоимости Оборудования выплачиваются в течение 45 (сорока пяти) календарных дней / 7 (семи) рабочих дней (если Подрядчик является субъектом МСП) с даты подписания Сторонами документов, указанных в пункте 4.2. Договора, на основании счёта, выставленного Подрядчиком, и с учетом пункта 3.4.8 Договора.</w:t>
      </w:r>
    </w:p>
    <w:p>
      <w:pPr>
        <w:pStyle w:val="ListParagraph"/>
        <w:shd w:val="clear" w:color="auto" w:fill="FFFFFF"/>
        <w:tabs>
          <w:tab w:val="clear" w:pos="709"/>
          <w:tab w:val="left" w:pos="1418" w:leader="none"/>
        </w:tabs>
        <w:ind w:left="0" w:firstLine="709"/>
        <w:jc w:val="both"/>
        <w:rPr>
          <w:color w:val="000000" w:themeColor="text1"/>
          <w:highlight w:val="white"/>
        </w:rPr>
      </w:pPr>
      <w:r>
        <w:rPr>
          <w:color w:val="000000" w:themeColor="text1"/>
          <w:highlight w:val="white"/>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shd w:val="clear" w:color="auto" w:fill="FFFFFF"/>
        <w:tabs>
          <w:tab w:val="clear" w:pos="709"/>
          <w:tab w:val="left" w:pos="1418" w:leader="none"/>
        </w:tabs>
        <w:ind w:left="0" w:firstLine="709"/>
        <w:jc w:val="both"/>
        <w:rPr>
          <w:color w:val="000000" w:themeColor="text1"/>
          <w:highlight w:val="white"/>
        </w:rPr>
      </w:pPr>
      <w:r>
        <w:rPr>
          <w:color w:val="000000" w:themeColor="text1"/>
          <w:highlight w:val="white"/>
        </w:rPr>
        <w:t>3.4.8.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shd w:val="clear" w:color="auto" w:fill="FFFFFF"/>
        <w:tabs>
          <w:tab w:val="clear" w:pos="709"/>
          <w:tab w:val="left" w:pos="1418" w:leader="none"/>
        </w:tabs>
        <w:ind w:left="0" w:firstLine="709"/>
        <w:jc w:val="both"/>
        <w:rPr>
          <w:color w:val="000000" w:themeColor="text1"/>
          <w:highlight w:val="white"/>
        </w:rPr>
      </w:pPr>
      <w:r>
        <w:rPr>
          <w:color w:val="000000" w:themeColor="text1"/>
          <w:highlight w:val="white"/>
        </w:rPr>
        <w:t>3.4.9. Подрядчик обязан в течение 30 (тридцати) календарных дней с даты, следующей за датой начала выполнения Работ, указанной в пункте 1.5. Договора предоставить Заказчику Банковскую гарантию надлежащего исполнения обязательств по Договору, соответствующую требованиям, установленным разделом 6 Договора.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w:t>
      </w:r>
      <w:r>
        <w:rPr>
          <w:color w:val="000000" w:themeColor="text1"/>
        </w:rPr>
        <w:t xml:space="preserve"> этапа Работ от каждого платежа, выплачиваемого Заказчиком Подрядчику в порядке, размерах и сроки, установленные пунктами 3.4.5, 3.4.6, 3.8 Договора в качестве гарантийного резервирования. При этом в счетах на оплату, выставленных Подрядчиком, должна быть отдельно выделена сумма </w:t>
      </w:r>
    </w:p>
    <w:p>
      <w:pPr>
        <w:pStyle w:val="ListParagraph"/>
        <w:shd w:val="clear" w:color="auto" w:fill="FFFFFF"/>
        <w:tabs>
          <w:tab w:val="clear" w:pos="709"/>
          <w:tab w:val="left" w:pos="1418" w:leader="none"/>
        </w:tabs>
        <w:ind w:left="0" w:firstLine="709"/>
        <w:jc w:val="both"/>
        <w:rPr>
          <w:color w:val="000000" w:themeColor="text1"/>
          <w:highlight w:val="white"/>
        </w:rPr>
      </w:pPr>
      <w:r>
        <w:rPr>
          <w:color w:val="000000" w:themeColor="text1"/>
          <w:highlight w:val="white"/>
        </w:rPr>
        <w:t xml:space="preserve">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«Банковские гарантии» на сумму, не менее 10 (десяти) % от Цены Договора. В течение в течение 45 (сорока пяти) календарных дней / </w:t>
      </w:r>
      <w:r>
        <w:rPr>
          <w:color w:val="000000" w:themeColor="text1"/>
          <w:szCs w:val="22"/>
          <w:highlight w:val="white"/>
          <w:shd w:fill="FFFFFF" w:val="clear"/>
        </w:rPr>
        <w:t>7 (семи) рабочих дней (если победитель торгов является МСП)</w:t>
      </w:r>
      <w:r>
        <w:rPr>
          <w:color w:val="000000" w:themeColor="text1"/>
          <w:highlight w:val="white"/>
        </w:rPr>
        <w:t xml:space="preserve">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pPr>
        <w:pStyle w:val="ListParagraph"/>
        <w:shd w:val="clear" w:color="auto" w:fill="FFFFFF"/>
        <w:tabs>
          <w:tab w:val="clear" w:pos="709"/>
          <w:tab w:val="left" w:pos="1418" w:leader="none"/>
        </w:tabs>
        <w:ind w:left="0" w:firstLine="709"/>
        <w:jc w:val="both"/>
        <w:rPr>
          <w:color w:val="000000" w:themeColor="text1"/>
          <w:highlight w:val="white"/>
        </w:rPr>
      </w:pPr>
      <w:r>
        <w:rPr>
          <w:color w:val="000000" w:themeColor="text1"/>
          <w:highlight w:val="white"/>
        </w:rPr>
        <w:t xml:space="preserve">Выплата Обеспечительного платежа производится в течение в течение 45 (сорока пяти) календарных дней / </w:t>
      </w:r>
      <w:r>
        <w:rPr>
          <w:color w:val="000000" w:themeColor="text1"/>
          <w:szCs w:val="22"/>
          <w:highlight w:val="white"/>
          <w:shd w:fill="FFFFFF" w:val="clear"/>
        </w:rPr>
        <w:t>7 (семи) рабочих дней (если победитель торгов является МСП)</w:t>
      </w:r>
      <w:r>
        <w:rPr>
          <w:color w:val="000000" w:themeColor="text1"/>
          <w:highlight w:val="white"/>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объекту, в случае, если иное не установлено в соответствующем соглашении о расторжении Договора. </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color w:val="000000" w:themeColor="text1"/>
          <w:sz w:val="24"/>
          <w:szCs w:val="24"/>
          <w:highlight w:val="white"/>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color w:val="000000" w:themeColor="text1"/>
          <w:sz w:val="24"/>
          <w:szCs w:val="24"/>
          <w:highlight w:val="white"/>
        </w:rPr>
        <w:t>3.4.10. 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3.4.1 Договора, в установленный срок и при этом не приступил к исполнению обязательств по Договору.</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color w:val="000000" w:themeColor="text1"/>
          <w:sz w:val="24"/>
          <w:szCs w:val="24"/>
          <w:highlight w:val="white"/>
        </w:rPr>
        <w:t xml:space="preserve">3.5. </w:t>
      </w:r>
      <w:r>
        <w:rPr>
          <w:bCs/>
          <w:color w:val="000000" w:themeColor="text1"/>
          <w:sz w:val="24"/>
          <w:szCs w:val="24"/>
          <w:highlight w:val="white"/>
        </w:rPr>
        <w:t xml:space="preserve">Оплата производится Заказчиком путем перечисления денежных средств на расчетный счет Подрядчика, указанный в Договоре. </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bCs/>
          <w:color w:val="000000" w:themeColor="text1"/>
          <w:sz w:val="24"/>
          <w:szCs w:val="24"/>
          <w:highlight w:val="white"/>
        </w:rPr>
        <w:t>3.6. Обязательство Заказчика по осуществлению платежа считается исполненным с даты списания денежных средств с расчетного счета Заказчика.</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bCs/>
          <w:color w:val="000000" w:themeColor="text1"/>
          <w:sz w:val="24"/>
          <w:szCs w:val="24"/>
          <w:highlight w:val="white"/>
        </w:rPr>
        <w:t>3.7.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Pr>
          <w:color w:val="000000" w:themeColor="text1"/>
          <w:sz w:val="24"/>
          <w:szCs w:val="24"/>
          <w:highlight w:val="white"/>
        </w:rPr>
        <w:t xml:space="preserve"> </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color w:val="000000" w:themeColor="text1"/>
          <w:sz w:val="24"/>
          <w:szCs w:val="24"/>
          <w:highlight w:val="white"/>
        </w:rPr>
        <w:t xml:space="preserve">3.8. Командировочные расходы включаются в стоимость этапов Работ по Договору в соответствии с расчетом, прилагаемым к Сводному сметному расчету (Приложение №3 к Договору) с расшифровкой затрат на проезд, проживание, суточные расходы (не более 700 руб./сут.). Заказчик имеет право в период действия договора запросить у Подрядчика копии первичных документов, платёжные поручения, реестры и т.д. для проверки соответствия суммы командировочных расходов фактическим затратам. </w:t>
      </w:r>
      <w:r>
        <w:rPr>
          <w:bCs/>
          <w:color w:val="000000" w:themeColor="text1"/>
          <w:sz w:val="24"/>
          <w:szCs w:val="24"/>
          <w:highlight w:val="white"/>
        </w:rPr>
        <w:t>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Договору в пределах лимита на командировочные расходы. Подрядчик обязан представлять по запросу Заказчика копии следующих документов, заверенных подрядчиком: приказ о командировке, проездные билеты, счета на оплату за проживание в гостинице и авансовые отчеты.</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bCs/>
          <w:color w:val="000000" w:themeColor="text1"/>
          <w:sz w:val="24"/>
          <w:szCs w:val="24"/>
          <w:highlight w:val="white"/>
        </w:rPr>
        <w:t xml:space="preserve">3.9. </w:t>
      </w:r>
      <w:r>
        <w:rPr>
          <w:color w:val="000000" w:themeColor="text1"/>
          <w:sz w:val="24"/>
          <w:szCs w:val="24"/>
          <w:highlight w:val="white"/>
        </w:rPr>
        <w:t>Индексация цены Договора не предусматривается.</w:t>
      </w:r>
    </w:p>
    <w:p>
      <w:pPr>
        <w:pStyle w:val="Normal"/>
        <w:shd w:val="clear" w:color="auto" w:fill="FFFFFF"/>
        <w:tabs>
          <w:tab w:val="clear" w:pos="709"/>
          <w:tab w:val="left" w:pos="1418" w:leader="none"/>
        </w:tabs>
        <w:spacing w:lineRule="auto" w:line="240"/>
        <w:rPr>
          <w:color w:val="000000" w:themeColor="text1"/>
          <w:sz w:val="24"/>
          <w:szCs w:val="24"/>
          <w:highlight w:val="white"/>
        </w:rPr>
      </w:pPr>
      <w:r>
        <w:rPr>
          <w:color w:val="000000" w:themeColor="text1"/>
          <w:sz w:val="24"/>
          <w:szCs w:val="24"/>
          <w:highlight w:val="white"/>
        </w:rPr>
        <w:t xml:space="preserve">3.10. </w:t>
      </w:r>
      <w:r>
        <w:rPr>
          <w:bCs/>
          <w:color w:val="000000" w:themeColor="text1"/>
          <w:sz w:val="24"/>
          <w:szCs w:val="24"/>
          <w:highlight w:val="white"/>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709"/>
          <w:tab w:val="left" w:pos="1134" w:leader="none"/>
        </w:tabs>
        <w:ind w:left="0" w:hanging="0"/>
        <w:jc w:val="center"/>
        <w:rPr>
          <w:b/>
          <w:b/>
          <w:bCs/>
          <w:color w:val="000000" w:themeColor="text1"/>
          <w:highlight w:val="white"/>
        </w:rPr>
      </w:pPr>
      <w:r>
        <w:rPr>
          <w:b/>
          <w:bCs/>
          <w:color w:val="000000" w:themeColor="text1"/>
          <w:highlight w:val="white"/>
        </w:rPr>
      </w:r>
    </w:p>
    <w:p>
      <w:pPr>
        <w:pStyle w:val="Normal"/>
        <w:shd w:val="clear" w:color="auto" w:fill="FFFFFF"/>
        <w:spacing w:lineRule="auto" w:line="240" w:before="0" w:after="0"/>
        <w:ind w:hanging="0"/>
        <w:contextualSpacing/>
        <w:jc w:val="center"/>
        <w:rPr>
          <w:b/>
          <w:b/>
          <w:bCs/>
          <w:color w:val="000000" w:themeColor="text1"/>
          <w:sz w:val="24"/>
          <w:szCs w:val="24"/>
          <w:highlight w:val="white"/>
        </w:rPr>
      </w:pPr>
      <w:r>
        <w:rPr>
          <w:b/>
          <w:bCs/>
          <w:color w:val="000000" w:themeColor="text1"/>
          <w:sz w:val="24"/>
          <w:szCs w:val="24"/>
          <w:highlight w:val="white"/>
        </w:rPr>
        <w:t>4. Порядок сдачи-приемки Работ</w:t>
      </w:r>
    </w:p>
    <w:p>
      <w:pPr>
        <w:pStyle w:val="Normal"/>
        <w:shd w:val="clear" w:color="auto" w:fill="FFFFFF"/>
        <w:spacing w:lineRule="auto" w:line="240" w:before="0" w:after="0"/>
        <w:ind w:hanging="0"/>
        <w:contextualSpacing/>
        <w:jc w:val="center"/>
        <w:rPr>
          <w:b/>
          <w:b/>
          <w:bCs/>
          <w:color w:val="000000" w:themeColor="text1"/>
          <w:sz w:val="24"/>
          <w:szCs w:val="24"/>
          <w:highlight w:val="white"/>
        </w:rPr>
      </w:pPr>
      <w:r>
        <w:rPr>
          <w:b/>
          <w:bCs/>
          <w:color w:val="000000" w:themeColor="text1"/>
          <w:sz w:val="24"/>
          <w:szCs w:val="24"/>
          <w:highlight w:val="white"/>
        </w:rPr>
      </w:r>
    </w:p>
    <w:p>
      <w:pPr>
        <w:pStyle w:val="ListParagraph"/>
        <w:shd w:val="clear" w:color="auto" w:fill="FFFFFF"/>
        <w:tabs>
          <w:tab w:val="left" w:pos="709" w:leader="none"/>
          <w:tab w:val="left" w:pos="1134" w:leader="none"/>
        </w:tabs>
        <w:ind w:left="0" w:firstLine="567"/>
        <w:jc w:val="both"/>
        <w:rPr/>
      </w:pPr>
      <w:r>
        <w:rPr>
          <w:bCs/>
        </w:rPr>
        <w:t xml:space="preserve"> </w:t>
      </w:r>
      <w:r>
        <w:rPr>
          <w:bCs/>
        </w:rPr>
        <w:t>4.1. По завершении выполнения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4 к Договору с приложением результата Проектных работ. Датой выполнения проектных работ является дата подписания Сторонами Акта сдачи-приемки Проектных работ.</w:t>
      </w:r>
    </w:p>
    <w:p>
      <w:pPr>
        <w:pStyle w:val="ListParagraph"/>
        <w:shd w:val="clear" w:color="auto" w:fill="FFFFFF"/>
        <w:tabs>
          <w:tab w:val="left" w:pos="709" w:leader="none"/>
          <w:tab w:val="left" w:pos="1134" w:leader="none"/>
        </w:tabs>
        <w:ind w:left="0" w:firstLine="680"/>
        <w:jc w:val="both"/>
        <w:rPr/>
      </w:pPr>
      <w:r>
        <w:rPr/>
        <w:t xml:space="preserve">4.2. </w:t>
      </w:r>
      <w:r>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t xml:space="preserve"> </w:t>
      </w:r>
      <w:r>
        <w:rPr>
          <w:bCs/>
        </w:rPr>
        <w:t xml:space="preserve">с приложением Приемо-сдаточной и Исполнительной документации </w:t>
      </w:r>
      <w:r>
        <w:rPr/>
        <w:t>в 3 (трех) экземплярах.</w:t>
      </w:r>
    </w:p>
    <w:p>
      <w:pPr>
        <w:pStyle w:val="ListParagraph"/>
        <w:shd w:val="clear" w:color="auto" w:fill="FFFFFF"/>
        <w:tabs>
          <w:tab w:val="clear" w:pos="709"/>
          <w:tab w:val="left" w:pos="1134" w:leader="none"/>
        </w:tabs>
        <w:ind w:left="0" w:firstLine="737"/>
        <w:jc w:val="both"/>
        <w:rPr/>
      </w:pPr>
      <w:r>
        <w:rPr>
          <w:bCs/>
        </w:rPr>
        <w:t>4.3.</w:t>
      </w:r>
      <w:bookmarkStart w:id="15" w:name="_Ref361336865"/>
      <w:r>
        <w:rPr>
          <w:bCs/>
        </w:rPr>
        <w:t xml:space="preserve"> 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6"/>
        </w:numPr>
        <w:shd w:val="clear" w:color="auto" w:fill="FFFFFF"/>
        <w:tabs>
          <w:tab w:val="clear" w:pos="709"/>
          <w:tab w:val="left" w:pos="1418" w:leader="none"/>
        </w:tabs>
        <w:ind w:left="0" w:firstLine="709"/>
        <w:jc w:val="both"/>
        <w:rPr/>
      </w:pPr>
      <w:r>
        <w:rPr/>
        <w:t xml:space="preserve">Акт КС-2, Справку КС-3 </w:t>
      </w:r>
    </w:p>
    <w:p>
      <w:pPr>
        <w:pStyle w:val="ListParagraph"/>
        <w:numPr>
          <w:ilvl w:val="0"/>
          <w:numId w:val="6"/>
        </w:numPr>
        <w:shd w:val="clear" w:color="auto" w:fill="FFFFFF"/>
        <w:tabs>
          <w:tab w:val="clear" w:pos="709"/>
          <w:tab w:val="left" w:pos="1418" w:leader="none"/>
        </w:tabs>
        <w:ind w:left="0" w:firstLine="709"/>
        <w:jc w:val="both"/>
        <w:rPr/>
      </w:pPr>
      <w:r>
        <w:rPr>
          <w:color w:val="000000"/>
        </w:rPr>
        <w:t>Акт</w:t>
      </w:r>
      <w:r>
        <w:rPr>
          <w:bCs/>
          <w:color w:val="000000"/>
        </w:rPr>
        <w:t xml:space="preserve"> о приеме-сдаче отремонтированных, реконструированных, модернизированных объектов основных средств (по форме ОС-3)</w:t>
      </w:r>
      <w:r>
        <w:rPr>
          <w:bCs/>
        </w:rPr>
        <w:t xml:space="preserve"> в 2 (двух) экземплярах с приложением Приемо-сдаточной и Исполнительной документации </w:t>
      </w:r>
      <w:r>
        <w:rPr/>
        <w:t xml:space="preserve">в 3 (трех) экземплярах; </w:t>
      </w:r>
    </w:p>
    <w:p>
      <w:pPr>
        <w:pStyle w:val="ListParagraph"/>
        <w:numPr>
          <w:ilvl w:val="0"/>
          <w:numId w:val="6"/>
        </w:numPr>
        <w:shd w:val="clear" w:color="auto" w:fill="FFFFFF"/>
        <w:tabs>
          <w:tab w:val="clear" w:pos="709"/>
          <w:tab w:val="left" w:pos="1418" w:leader="none"/>
        </w:tabs>
        <w:ind w:left="0" w:firstLine="709"/>
        <w:jc w:val="both"/>
        <w:rPr/>
      </w:pPr>
      <w:r>
        <w:rPr>
          <w:bCs/>
        </w:rPr>
        <w:t>А</w:t>
      </w:r>
      <w:r>
        <w:rPr/>
        <w:t>кт КС-11 в 2 (двух) экземплярах;</w:t>
      </w:r>
      <w:bookmarkEnd w:id="15"/>
    </w:p>
    <w:p>
      <w:pPr>
        <w:pStyle w:val="ListParagraph"/>
        <w:shd w:val="clear" w:color="auto" w:fill="FFFFFF"/>
        <w:tabs>
          <w:tab w:val="clear" w:pos="709"/>
          <w:tab w:val="left" w:pos="568" w:leader="none"/>
          <w:tab w:val="left" w:pos="1134" w:leader="none"/>
        </w:tabs>
        <w:ind w:left="0" w:firstLine="709"/>
        <w:jc w:val="both"/>
        <w:rPr>
          <w:bCs/>
        </w:rPr>
      </w:pPr>
      <w:r>
        <w:rPr>
          <w:bCs/>
        </w:rPr>
        <w:t xml:space="preserve">4.4.В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shd w:val="clear" w:color="auto" w:fill="FFFFFF"/>
        <w:tabs>
          <w:tab w:val="clear" w:pos="709"/>
          <w:tab w:val="left" w:pos="568" w:leader="none"/>
          <w:tab w:val="left" w:pos="1134" w:leader="none"/>
        </w:tabs>
        <w:ind w:left="0" w:firstLine="737"/>
        <w:jc w:val="both"/>
        <w:rPr>
          <w:bCs/>
        </w:rPr>
      </w:pPr>
      <w:r>
        <w:rPr>
          <w:bCs/>
        </w:rPr>
        <w:t xml:space="preserve">4.5. 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shd w:val="clear" w:color="auto" w:fill="FFFFFF"/>
        <w:tabs>
          <w:tab w:val="clear" w:pos="709"/>
          <w:tab w:val="left" w:pos="1134" w:leader="none"/>
        </w:tabs>
        <w:ind w:left="0" w:firstLine="794"/>
        <w:jc w:val="both"/>
        <w:rPr/>
      </w:pPr>
      <w:r>
        <w:rPr>
          <w:bCs/>
        </w:rPr>
        <w:t>4.6. 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pPr>
        <w:pStyle w:val="ListParagraph"/>
        <w:shd w:val="clear" w:color="auto" w:fill="FFFFFF"/>
        <w:tabs>
          <w:tab w:val="clear" w:pos="709"/>
          <w:tab w:val="left" w:pos="1134" w:leader="none"/>
        </w:tabs>
        <w:ind w:left="0" w:firstLine="794"/>
        <w:jc w:val="both"/>
        <w:rPr/>
      </w:pPr>
      <w:r>
        <w:rPr>
          <w:bCs/>
        </w:rPr>
        <w:t>4.7. Если Подрядчик не устранит недостатки, несоответствия и / или дефекты Работ (Этапа Работ) в срок, установленный Заказчиком,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shd w:val="clear" w:color="auto" w:fill="FFFFFF"/>
        <w:tabs>
          <w:tab w:val="clear" w:pos="709"/>
          <w:tab w:val="left" w:pos="1134" w:leader="none"/>
        </w:tabs>
        <w:ind w:left="0" w:firstLine="794"/>
        <w:jc w:val="both"/>
        <w:rPr/>
      </w:pPr>
      <w:r>
        <w:rPr>
          <w:bCs/>
        </w:rPr>
        <w:t>4.8. 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widowControl w:val="false"/>
        <w:shd w:val="clear" w:color="auto" w:fill="FFFFFF"/>
        <w:tabs>
          <w:tab w:val="clear" w:pos="709"/>
          <w:tab w:val="left" w:pos="1134" w:leader="none"/>
        </w:tabs>
        <w:ind w:left="0" w:firstLine="850"/>
        <w:jc w:val="both"/>
        <w:rPr>
          <w:bCs/>
        </w:rPr>
      </w:pPr>
      <w:r>
        <w:rPr>
          <w:bCs/>
          <w:color w:val="000000" w:themeColor="text1"/>
          <w:highlight w:val="white"/>
        </w:rPr>
        <w:t>4.9.</w:t>
      </w:r>
      <w:bookmarkStart w:id="16" w:name="_Ref361337635"/>
      <w:r>
        <w:rPr>
          <w:bCs/>
          <w:color w:val="000000" w:themeColor="text1"/>
          <w:highlight w:val="white"/>
        </w:rPr>
        <w:t xml:space="preserve"> 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6"/>
    </w:p>
    <w:p>
      <w:pPr>
        <w:pStyle w:val="ListParagraph"/>
        <w:shd w:val="clear" w:color="auto" w:fill="FFFFFF"/>
        <w:tabs>
          <w:tab w:val="clear" w:pos="709"/>
          <w:tab w:val="left" w:pos="1134" w:leader="none"/>
        </w:tabs>
        <w:ind w:left="0" w:firstLine="709"/>
        <w:jc w:val="both"/>
        <w:rPr>
          <w:bCs/>
          <w:color w:val="000000" w:themeColor="text1"/>
          <w:sz w:val="20"/>
          <w:szCs w:val="20"/>
          <w:highlight w:val="white"/>
        </w:rPr>
      </w:pPr>
      <w:r>
        <w:rPr>
          <w:bCs/>
          <w:color w:val="000000" w:themeColor="text1"/>
          <w:sz w:val="20"/>
          <w:szCs w:val="20"/>
          <w:highlight w:val="white"/>
        </w:rPr>
      </w:r>
    </w:p>
    <w:p>
      <w:pPr>
        <w:pStyle w:val="Normal"/>
        <w:shd w:val="clear" w:color="auto" w:fill="FFFFFF"/>
        <w:spacing w:lineRule="auto" w:line="240"/>
        <w:ind w:hanging="0"/>
        <w:jc w:val="center"/>
        <w:rPr>
          <w:b/>
          <w:b/>
          <w:bCs/>
          <w:color w:val="000000" w:themeColor="text1"/>
          <w:sz w:val="22"/>
          <w:szCs w:val="22"/>
          <w:highlight w:val="white"/>
        </w:rPr>
      </w:pPr>
      <w:r>
        <w:rPr>
          <w:b/>
          <w:bCs/>
          <w:color w:val="000000" w:themeColor="text1"/>
          <w:sz w:val="24"/>
          <w:szCs w:val="24"/>
          <w:highlight w:val="white"/>
        </w:rPr>
        <w:t>5. Право собственности и переход рисков</w:t>
      </w:r>
    </w:p>
    <w:p>
      <w:pPr>
        <w:pStyle w:val="Normal"/>
        <w:shd w:val="clear" w:color="auto" w:fill="FFFFFF"/>
        <w:tabs>
          <w:tab w:val="left" w:pos="709" w:leader="none"/>
        </w:tabs>
        <w:spacing w:lineRule="auto" w:line="240"/>
        <w:ind w:firstLine="709"/>
        <w:rPr>
          <w:bCs/>
          <w:color w:val="000000" w:themeColor="text1"/>
          <w:sz w:val="22"/>
          <w:szCs w:val="22"/>
          <w:highlight w:val="white"/>
        </w:rPr>
      </w:pPr>
      <w:r>
        <w:rPr>
          <w:bCs/>
          <w:color w:val="000000" w:themeColor="text1"/>
          <w:sz w:val="24"/>
          <w:szCs w:val="24"/>
          <w:highlight w:val="white"/>
        </w:rPr>
        <w:t xml:space="preserve">5.1. Риск случайной гибели или повреждения Результата Работ в отношении Объекта, включая Материально-технические ресурсы и оборудование, переходит к Заказчику с момента подписания сторонами Акта формы </w:t>
      </w:r>
      <w:r>
        <w:rPr>
          <w:color w:val="000000" w:themeColor="text1"/>
          <w:sz w:val="24"/>
          <w:szCs w:val="24"/>
          <w:highlight w:val="white"/>
        </w:rPr>
        <w:t>КС-11</w:t>
      </w:r>
      <w:r>
        <w:rPr>
          <w:bCs/>
          <w:color w:val="000000" w:themeColor="text1"/>
          <w:sz w:val="24"/>
          <w:szCs w:val="24"/>
          <w:highlight w:val="white"/>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p>
    <w:p>
      <w:pPr>
        <w:pStyle w:val="Normal"/>
        <w:shd w:val="clear" w:color="auto" w:fill="FFFFFF"/>
        <w:tabs>
          <w:tab w:val="left" w:pos="709" w:leader="none"/>
        </w:tabs>
        <w:spacing w:lineRule="auto" w:line="240"/>
        <w:ind w:firstLine="709"/>
        <w:rPr>
          <w:bCs/>
          <w:color w:val="000000" w:themeColor="text1"/>
          <w:sz w:val="22"/>
          <w:szCs w:val="22"/>
          <w:highlight w:val="white"/>
        </w:rPr>
      </w:pPr>
      <w:r>
        <w:rPr>
          <w:bCs/>
          <w:color w:val="000000" w:themeColor="text1"/>
          <w:sz w:val="24"/>
          <w:szCs w:val="24"/>
          <w:highlight w:val="white"/>
        </w:rPr>
        <w:t xml:space="preserve">5.2. Право собственности на Результат Работ в отношении Объекта возникает у Заказчика с момента подписания Сторонами Акта КС-11. </w:t>
      </w:r>
    </w:p>
    <w:p>
      <w:pPr>
        <w:pStyle w:val="Normal"/>
        <w:shd w:val="clear" w:color="auto" w:fill="FFFFFF"/>
        <w:tabs>
          <w:tab w:val="left" w:pos="709" w:leader="none"/>
        </w:tabs>
        <w:spacing w:lineRule="auto" w:line="240"/>
        <w:ind w:firstLine="709"/>
        <w:rPr>
          <w:bCs/>
          <w:color w:val="000000" w:themeColor="text1"/>
          <w:sz w:val="22"/>
          <w:szCs w:val="22"/>
          <w:highlight w:val="white"/>
        </w:rPr>
      </w:pPr>
      <w:r>
        <w:rPr>
          <w:bCs/>
          <w:color w:val="000000" w:themeColor="text1"/>
          <w:sz w:val="24"/>
          <w:szCs w:val="24"/>
          <w:highlight w:val="white"/>
        </w:rPr>
        <w:t>5.3</w:t>
      </w:r>
      <w:bookmarkStart w:id="17" w:name="_Ref361834251"/>
      <w:r>
        <w:rPr>
          <w:bCs/>
          <w:color w:val="000000" w:themeColor="text1"/>
          <w:sz w:val="24"/>
          <w:szCs w:val="24"/>
          <w:highlight w:val="white"/>
        </w:rPr>
        <w:t>. Подписание Заказчиком Акта формы КС-11 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не освобождает Подрядчика от ответственности за Результат Работ по Договору в целом.</w:t>
      </w:r>
      <w:bookmarkEnd w:id="17"/>
    </w:p>
    <w:p>
      <w:pPr>
        <w:pStyle w:val="Normal"/>
        <w:shd w:val="clear" w:color="auto" w:fill="FFFFFF"/>
        <w:spacing w:lineRule="auto" w:line="240" w:before="0" w:after="0"/>
        <w:ind w:hanging="0"/>
        <w:contextualSpacing/>
        <w:jc w:val="center"/>
        <w:rPr>
          <w:b/>
          <w:b/>
          <w:bCs/>
          <w:color w:val="000000" w:themeColor="text1"/>
          <w:sz w:val="22"/>
          <w:szCs w:val="22"/>
          <w:highlight w:val="white"/>
        </w:rPr>
      </w:pPr>
      <w:r>
        <w:rPr>
          <w:b/>
          <w:bCs/>
          <w:color w:val="000000" w:themeColor="text1"/>
          <w:sz w:val="24"/>
          <w:szCs w:val="24"/>
          <w:highlight w:val="white"/>
        </w:rPr>
        <w:t>6. Банковские гарантии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6.1. Подрядчик предварительно направляет Заказчику проект Банковской гарантии с приложением заключаемого договора с банком-гарантом.</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 Под банковской гарантией понимается гарантия согласованного Заказчиком Банка, из перечня Банков-Гарантов (Приложение № 9), которая будет регулироваться унифицированными правилами Международной торговой палаты – публикация МТП № 758 (</w:t>
      </w:r>
      <w:r>
        <w:rPr>
          <w:bCs/>
          <w:color w:val="000000" w:themeColor="text1"/>
          <w:sz w:val="24"/>
          <w:szCs w:val="24"/>
          <w:highlight w:val="white"/>
          <w:lang w:val="en-US"/>
        </w:rPr>
        <w:t>ICC</w:t>
      </w:r>
      <w:r>
        <w:rPr>
          <w:bCs/>
          <w:color w:val="000000" w:themeColor="text1"/>
          <w:sz w:val="24"/>
          <w:szCs w:val="24"/>
          <w:highlight w:val="white"/>
        </w:rPr>
        <w:t xml:space="preserve"> </w:t>
      </w:r>
      <w:r>
        <w:rPr>
          <w:bCs/>
          <w:color w:val="000000" w:themeColor="text1"/>
          <w:sz w:val="24"/>
          <w:szCs w:val="24"/>
          <w:highlight w:val="white"/>
          <w:lang w:val="en-US"/>
        </w:rPr>
        <w:t>Uniform</w:t>
      </w:r>
      <w:r>
        <w:rPr>
          <w:bCs/>
          <w:color w:val="000000" w:themeColor="text1"/>
          <w:sz w:val="24"/>
          <w:szCs w:val="24"/>
          <w:highlight w:val="white"/>
        </w:rPr>
        <w:t xml:space="preserve"> </w:t>
      </w:r>
      <w:r>
        <w:rPr>
          <w:bCs/>
          <w:color w:val="000000" w:themeColor="text1"/>
          <w:sz w:val="24"/>
          <w:szCs w:val="24"/>
          <w:highlight w:val="white"/>
          <w:lang w:val="en-US"/>
        </w:rPr>
        <w:t>Rules</w:t>
      </w:r>
      <w:r>
        <w:rPr>
          <w:bCs/>
          <w:color w:val="000000" w:themeColor="text1"/>
          <w:sz w:val="24"/>
          <w:szCs w:val="24"/>
          <w:highlight w:val="white"/>
        </w:rPr>
        <w:t xml:space="preserve"> </w:t>
      </w:r>
      <w:r>
        <w:rPr>
          <w:bCs/>
          <w:color w:val="000000" w:themeColor="text1"/>
          <w:sz w:val="24"/>
          <w:szCs w:val="24"/>
          <w:highlight w:val="white"/>
          <w:lang w:val="en-US"/>
        </w:rPr>
        <w:t>Demand</w:t>
      </w:r>
      <w:r>
        <w:rPr>
          <w:bCs/>
          <w:color w:val="000000" w:themeColor="text1"/>
          <w:sz w:val="24"/>
          <w:szCs w:val="24"/>
          <w:highlight w:val="white"/>
        </w:rPr>
        <w:t xml:space="preserve"> </w:t>
      </w:r>
      <w:r>
        <w:rPr>
          <w:bCs/>
          <w:color w:val="000000" w:themeColor="text1"/>
          <w:sz w:val="24"/>
          <w:szCs w:val="24"/>
          <w:highlight w:val="white"/>
          <w:lang w:val="en-US"/>
        </w:rPr>
        <w:t>Guarantees</w:t>
      </w:r>
      <w:r>
        <w:rPr>
          <w:bCs/>
          <w:color w:val="000000" w:themeColor="text1"/>
          <w:sz w:val="24"/>
          <w:szCs w:val="24"/>
          <w:highlight w:val="white"/>
        </w:rPr>
        <w:t xml:space="preserve"> – </w:t>
      </w:r>
      <w:r>
        <w:rPr>
          <w:bCs/>
          <w:color w:val="000000" w:themeColor="text1"/>
          <w:sz w:val="24"/>
          <w:szCs w:val="24"/>
          <w:highlight w:val="white"/>
          <w:lang w:val="en-US"/>
        </w:rPr>
        <w:t>ICC</w:t>
      </w:r>
      <w:r>
        <w:rPr>
          <w:bCs/>
          <w:color w:val="000000" w:themeColor="text1"/>
          <w:sz w:val="24"/>
          <w:szCs w:val="24"/>
          <w:highlight w:val="white"/>
        </w:rPr>
        <w:t xml:space="preserve"> </w:t>
      </w:r>
      <w:r>
        <w:rPr>
          <w:bCs/>
          <w:color w:val="000000" w:themeColor="text1"/>
          <w:sz w:val="24"/>
          <w:szCs w:val="24"/>
          <w:highlight w:val="white"/>
          <w:lang w:val="en-US"/>
        </w:rPr>
        <w:t>Publication</w:t>
      </w:r>
      <w:r>
        <w:rPr>
          <w:bCs/>
          <w:color w:val="000000" w:themeColor="text1"/>
          <w:sz w:val="24"/>
          <w:szCs w:val="24"/>
          <w:highlight w:val="white"/>
        </w:rPr>
        <w:t xml:space="preserve">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6.2.1. банковская гарантия должна быть безотзывной и безусловной (гарантия по первому требованию);</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6.2.2. бенефициар по Банковской гарантии – Заказчик, принципал – Подрядчик;</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6.2.3. сумма Банковской гарантии должна быть выражена в валюте расчетов по Договору;</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6.2.4. Сумма Банковской гарантии по Договору:</w:t>
      </w:r>
    </w:p>
    <w:p>
      <w:pPr>
        <w:pStyle w:val="ListParagraph"/>
        <w:shd w:val="clear" w:color="auto" w:fill="FFFFFF"/>
        <w:ind w:left="0" w:firstLine="710"/>
        <w:jc w:val="both"/>
        <w:rPr>
          <w:bCs/>
          <w:color w:val="000000" w:themeColor="text1"/>
          <w:highlight w:val="white"/>
        </w:rPr>
      </w:pPr>
      <w:r>
        <w:rPr>
          <w:bCs/>
          <w:color w:val="000000" w:themeColor="text1"/>
          <w:highlight w:val="white"/>
        </w:rPr>
        <w:t>- сумма Банковской гарантии по возврату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Подрядчику и неотработанных авансовых платежей;</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сумма банковской гарантии надлежащего исполнения обязательств по Договору должна составлять не менее 10 % от цены Договора;</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Договору в целом.</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6.2.5.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отказа Подрядчика от исполнения обязательств по Договору, в том числе одностороннего отказа от Договора;</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отказа Подрядчика от возврата неотработанного аванса при досрочном прекращении Договора/признании Договора недействительным;</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нарушения Подрядчиком сроков выполнения Работ, установленных Календарным графиком выполнения и финансирования Работ (Приложение №2 к Договору) более, чем на 60 (шестьдесят) календарных дней;</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прекращения членства в СРО, основанной на членстве лиц, осуществляющих строительство (при необходимости);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введения арбитражным судом процедуры несостоятельности (банкротства) в отношении Подрядчика;</w:t>
      </w:r>
    </w:p>
    <w:p>
      <w:pPr>
        <w:pStyle w:val="Normal"/>
        <w:spacing w:lineRule="auto" w:line="240" w:before="20" w:after="20"/>
        <w:ind w:firstLine="710"/>
        <w:rPr>
          <w:color w:val="000000" w:themeColor="text1"/>
          <w:sz w:val="24"/>
          <w:szCs w:val="24"/>
          <w:highlight w:val="white"/>
        </w:rPr>
      </w:pPr>
      <w:r>
        <w:rPr>
          <w:color w:val="000000" w:themeColor="text1"/>
          <w:sz w:val="24"/>
          <w:szCs w:val="24"/>
          <w:highlight w:val="white"/>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spacing w:lineRule="auto" w:line="240" w:before="20" w:after="20"/>
        <w:ind w:firstLine="710"/>
        <w:rPr>
          <w:color w:val="000000" w:themeColor="text1"/>
          <w:sz w:val="24"/>
          <w:szCs w:val="24"/>
          <w:highlight w:val="white"/>
        </w:rPr>
      </w:pPr>
      <w:r>
        <w:rPr>
          <w:color w:val="000000" w:themeColor="text1"/>
          <w:sz w:val="24"/>
          <w:szCs w:val="24"/>
          <w:highlight w:val="white"/>
        </w:rPr>
        <w:t>признания Договора недействительным по причинам отсутствия необходимых корпоративных одобрений у Подрядчика;</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Вместе с требованием о предъявлении суммы обеспечения к оплате Заказчик направляет Банку-Гаранту Банковскую гарантию (копия/ оригинал).</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6.2.6. платеж по Банковской гарантии осуществляется Банком-Гарантом в течение 10 (десяти) рабочих дней после обращения Заказчика;</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6.2.7. 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6.2.8. 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 компетентного разрешать споры из Банковской гарантии;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6.2.9. 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6.2.10. Банковская гарантия не должна содержать условий или требований, противоречащих требованиям, указанным в пунктах 6.2.1. - 6.2.9. Договора, или делающих такие требования неисполнимыми.</w:t>
      </w:r>
    </w:p>
    <w:p>
      <w:pPr>
        <w:pStyle w:val="Normal"/>
        <w:spacing w:lineRule="auto" w:line="240"/>
        <w:ind w:firstLine="710"/>
        <w:rPr>
          <w:bCs/>
          <w:color w:val="000000" w:themeColor="text1"/>
          <w:sz w:val="24"/>
          <w:szCs w:val="24"/>
          <w:highlight w:val="white"/>
        </w:rPr>
      </w:pPr>
      <w:r>
        <w:rPr>
          <w:bCs/>
          <w:color w:val="000000" w:themeColor="text1"/>
          <w:sz w:val="24"/>
          <w:szCs w:val="24"/>
          <w:highlight w:val="white"/>
        </w:rPr>
        <w:t>6.3. Банк, выдавший Банковскую гарантию, должен соответствовать критериям, указанным в Приложении № 9 к Договору.</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6.4. 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Normal"/>
        <w:spacing w:lineRule="auto" w:line="240"/>
        <w:ind w:firstLine="710"/>
        <w:rPr>
          <w:bCs/>
          <w:color w:val="000000" w:themeColor="text1"/>
          <w:sz w:val="24"/>
          <w:szCs w:val="24"/>
          <w:highlight w:val="white"/>
        </w:rPr>
      </w:pPr>
      <w:r>
        <w:rPr>
          <w:bCs/>
          <w:color w:val="000000" w:themeColor="text1"/>
          <w:sz w:val="24"/>
          <w:szCs w:val="24"/>
          <w:highlight w:val="white"/>
        </w:rPr>
        <w:t>6.5.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при условии подтверждения их выполнения.</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6.6.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xml:space="preserve">6.7. В случаях: </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Подрядчик обязан предоставить Заказчику новую Банковскую гарантию</w:t>
      </w:r>
      <w:r>
        <w:rPr>
          <w:color w:val="000000" w:themeColor="text1"/>
          <w:sz w:val="24"/>
          <w:szCs w:val="24"/>
          <w:highlight w:val="white"/>
        </w:rPr>
        <w:t xml:space="preserve"> </w:t>
      </w:r>
      <w:r>
        <w:rPr>
          <w:bCs/>
          <w:color w:val="000000" w:themeColor="text1"/>
          <w:sz w:val="24"/>
          <w:szCs w:val="24"/>
          <w:highlight w:val="white"/>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left="0" w:firstLine="710"/>
        <w:jc w:val="both"/>
        <w:rPr>
          <w:bCs/>
          <w:color w:val="000000" w:themeColor="text1"/>
          <w:highlight w:val="white"/>
        </w:rPr>
      </w:pPr>
      <w:r>
        <w:rPr>
          <w:bCs/>
          <w:color w:val="000000" w:themeColor="text1"/>
          <w:highlight w:val="white"/>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Pr>
          <w:color w:val="000000" w:themeColor="text1"/>
          <w:highlight w:val="white"/>
        </w:rPr>
        <w:t>и / или сумму ранее выплаченного Обеспечительного платежа при выплате каждого платежа, причитающегося Подрядчику.</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6.8.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Normal"/>
        <w:shd w:val="clear" w:color="auto" w:fill="FFFFFF"/>
        <w:spacing w:lineRule="auto" w:line="240"/>
        <w:ind w:firstLine="710"/>
        <w:rPr>
          <w:sz w:val="24"/>
          <w:szCs w:val="24"/>
        </w:rPr>
      </w:pPr>
      <w:r>
        <w:rPr>
          <w:color w:val="000000" w:themeColor="text1"/>
          <w:sz w:val="24"/>
          <w:szCs w:val="24"/>
          <w:highlight w:val="white"/>
        </w:rPr>
        <w:t>6.9.  Если по факту выплаты авансового платежа совокупная сумма неотработанных авансовых платежей по Договору составляет 5 000 000 (пять миллионов) рублей и более (без учета НДС), Подрядчик в срок не позднее 3 (трех) рабочих дней до предполагаемой даты выплаты авансового платежа, должен предоставить обеспечение исполнения обязательств по возврату предварительной оплаты (аванса) в виде банковской гарантии / Независимой гарантии, оформленной в соответствии с требованиями, указанными в приложении №9 к Договору.</w:t>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7. Ответственность Сторон</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7.1.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7.2. Неустойка и/или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 xml:space="preserve">7.3. </w:t>
      </w:r>
      <w:r>
        <w:rPr>
          <w:rFonts w:eastAsia="Calibri"/>
          <w:bCs/>
          <w:color w:val="000000" w:themeColor="text1"/>
          <w:sz w:val="24"/>
          <w:szCs w:val="24"/>
          <w:highlight w:val="white"/>
        </w:rPr>
        <w:t>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spacing w:lineRule="auto" w:line="240"/>
        <w:ind w:firstLine="709"/>
        <w:rPr>
          <w:rFonts w:ascii="Times New Roman" w:hAnsi="Times New Roman" w:eastAsia="Noto Serif CJK SC" w:cs="Arial Unicode MS"/>
          <w:bCs/>
          <w:color w:val="000000" w:themeColor="text1"/>
          <w:kern w:val="0"/>
          <w:sz w:val="24"/>
          <w:szCs w:val="24"/>
          <w:highlight w:val="white"/>
          <w:lang w:val="ru-RU" w:eastAsia="ru-RU" w:bidi="ar-SA"/>
        </w:rPr>
      </w:pPr>
      <w:r>
        <w:rPr>
          <w:rFonts w:eastAsia="Noto Serif CJK SC" w:cs="Arial Unicode MS"/>
          <w:bCs/>
          <w:color w:val="000000" w:themeColor="text1"/>
          <w:kern w:val="0"/>
          <w:sz w:val="24"/>
          <w:szCs w:val="24"/>
          <w:highlight w:val="white"/>
          <w:lang w:val="ru-RU" w:eastAsia="ru-RU" w:bidi="ar-SA"/>
        </w:rPr>
        <w:t>7.4. В случае нарушения Подрядчиком обязательств по выполнению этапа работ, а также несвоевременного устранения выявленных недостатков  результатов работ  Заказчик вправе потребовать уплаты Подрядчиком:</w:t>
      </w:r>
    </w:p>
    <w:p>
      <w:pPr>
        <w:pStyle w:val="Normal"/>
        <w:numPr>
          <w:ilvl w:val="0"/>
          <w:numId w:val="7"/>
        </w:numPr>
        <w:tabs>
          <w:tab w:val="clear" w:pos="709"/>
          <w:tab w:val="left" w:pos="1701" w:leader="none"/>
        </w:tabs>
        <w:spacing w:lineRule="auto" w:line="240"/>
        <w:ind w:left="0" w:firstLine="709"/>
        <w:jc w:val="both"/>
        <w:rPr>
          <w:rFonts w:ascii="Times New Roman" w:hAnsi="Times New Roman" w:eastAsia="Noto Serif CJK SC" w:cs="Arial Unicode MS"/>
          <w:bCs/>
          <w:color w:val="000000" w:themeColor="text1"/>
          <w:kern w:val="0"/>
          <w:sz w:val="24"/>
          <w:szCs w:val="24"/>
          <w:highlight w:val="white"/>
          <w:lang w:val="ru-RU" w:eastAsia="ru-RU" w:bidi="ar-SA"/>
        </w:rPr>
      </w:pPr>
      <w:r>
        <w:rPr>
          <w:rFonts w:eastAsia="Noto Serif CJK SC" w:cs="Arial Unicode MS"/>
          <w:bCs/>
          <w:color w:val="000000" w:themeColor="text1"/>
          <w:kern w:val="0"/>
          <w:sz w:val="24"/>
          <w:szCs w:val="24"/>
          <w:highlight w:val="white"/>
          <w:lang w:val="ru-RU" w:eastAsia="ru-RU" w:bidi="ar-SA"/>
        </w:rPr>
        <w:t>неустойки в размере 0,1 (ноль целых и одна десятая) процента от цены  этапа работ  за каждый день просрочки  выполнения работ;</w:t>
      </w:r>
    </w:p>
    <w:p>
      <w:pPr>
        <w:pStyle w:val="Normal"/>
        <w:numPr>
          <w:ilvl w:val="0"/>
          <w:numId w:val="7"/>
        </w:numPr>
        <w:tabs>
          <w:tab w:val="clear" w:pos="709"/>
          <w:tab w:val="left" w:pos="1701" w:leader="none"/>
        </w:tabs>
        <w:spacing w:lineRule="auto" w:line="240"/>
        <w:ind w:left="0" w:firstLine="709"/>
        <w:jc w:val="both"/>
        <w:rPr>
          <w:rFonts w:ascii="Times New Roman" w:hAnsi="Times New Roman" w:eastAsia="Noto Serif CJK SC" w:cs="Arial Unicode MS"/>
          <w:bCs/>
          <w:color w:val="000000" w:themeColor="text1"/>
          <w:kern w:val="0"/>
          <w:sz w:val="24"/>
          <w:szCs w:val="24"/>
          <w:highlight w:val="white"/>
          <w:lang w:val="ru-RU" w:eastAsia="ru-RU" w:bidi="ar-SA"/>
        </w:rPr>
      </w:pPr>
      <w:r>
        <w:rPr>
          <w:rFonts w:eastAsia="Noto Serif CJK SC" w:cs="Arial Unicode MS"/>
          <w:bCs/>
          <w:color w:val="000000" w:themeColor="text1"/>
          <w:kern w:val="0"/>
          <w:sz w:val="24"/>
          <w:szCs w:val="24"/>
          <w:highlight w:val="white"/>
          <w:lang w:val="ru-RU" w:eastAsia="ru-RU" w:bidi="ar-SA"/>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результата работ  в целом по Договору.</w:t>
      </w:r>
    </w:p>
    <w:p>
      <w:pPr>
        <w:pStyle w:val="Normal"/>
        <w:spacing w:lineRule="auto" w:line="240"/>
        <w:ind w:firstLine="709"/>
        <w:rPr>
          <w:rFonts w:ascii="Times New Roman" w:hAnsi="Times New Roman" w:eastAsia="Noto Serif CJK SC" w:cs="Arial Unicode MS"/>
          <w:bCs/>
          <w:color w:val="000000" w:themeColor="text1"/>
          <w:kern w:val="0"/>
          <w:sz w:val="24"/>
          <w:szCs w:val="24"/>
          <w:highlight w:val="white"/>
          <w:lang w:val="ru-RU" w:eastAsia="ru-RU" w:bidi="ar-SA"/>
        </w:rPr>
      </w:pPr>
      <w:r>
        <w:rPr>
          <w:rFonts w:eastAsia="Noto Serif CJK SC" w:cs="Arial Unicode MS"/>
          <w:bCs/>
          <w:color w:val="000000" w:themeColor="text1"/>
          <w:kern w:val="0"/>
          <w:sz w:val="24"/>
          <w:szCs w:val="24"/>
          <w:highlight w:val="white"/>
          <w:lang w:val="ru-RU" w:eastAsia="ru-RU" w:bidi="ar-SA"/>
        </w:rPr>
        <w:t xml:space="preserve">неустойки в размере 0,1 (ноль целых и одна десятая) процента от этапа работ  за каждый день просрочки – в случае несвоевременного устранения недостатков, не влияющих на возможность  результата работ  в целом по Договору. </w:t>
      </w:r>
    </w:p>
    <w:p>
      <w:pPr>
        <w:pStyle w:val="Normal"/>
        <w:spacing w:lineRule="auto" w:line="240"/>
        <w:ind w:firstLine="709"/>
        <w:rPr>
          <w:color w:val="000000" w:themeColor="text1"/>
          <w:sz w:val="24"/>
          <w:szCs w:val="24"/>
          <w:highlight w:val="white"/>
        </w:rPr>
      </w:pPr>
      <w:r>
        <w:rPr>
          <w:color w:val="000000" w:themeColor="text1"/>
          <w:sz w:val="24"/>
          <w:szCs w:val="24"/>
          <w:highlight w:val="white"/>
          <w:lang w:bidi="ru-RU"/>
        </w:rPr>
        <w:t>7.5. 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7.6. 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в Приложении № 10 Договора.</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7.7. 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Pr>
          <w:bCs/>
          <w:color w:val="000000" w:themeColor="text1"/>
          <w:sz w:val="24"/>
          <w:szCs w:val="24"/>
        </w:rPr>
        <w:t xml:space="preserve">4.9. </w:t>
      </w:r>
      <w:r>
        <w:rPr>
          <w:bCs/>
          <w:color w:val="000000" w:themeColor="text1"/>
          <w:sz w:val="24"/>
          <w:szCs w:val="24"/>
          <w:highlight w:val="white"/>
        </w:rPr>
        <w:t>Договора, Заказчик вправе требовать уплаты Подрядчиком штрафа в размере 50 000 (пятидесяти тысяч) рублей за каждый случай нарушения.</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7.8. 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7.9.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7.10.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7.11.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7.12.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color w:val="000000" w:themeColor="text1"/>
          <w:sz w:val="24"/>
          <w:szCs w:val="24"/>
          <w:highlight w:val="white"/>
        </w:rPr>
        <w:t xml:space="preserve"> </w:t>
      </w:r>
      <w:r>
        <w:rPr>
          <w:bCs/>
          <w:color w:val="000000" w:themeColor="text1"/>
          <w:sz w:val="24"/>
          <w:szCs w:val="24"/>
          <w:highlight w:val="white"/>
        </w:rPr>
        <w:t>сумма неустойки, подлежащая уплате виновной Стороной, определяется на основании решения суда.</w:t>
      </w:r>
    </w:p>
    <w:p>
      <w:pPr>
        <w:pStyle w:val="Normal"/>
        <w:shd w:val="clear" w:color="auto" w:fill="FFFFFF"/>
        <w:spacing w:lineRule="auto" w:line="240"/>
        <w:ind w:firstLine="709"/>
        <w:rPr>
          <w:rFonts w:eastAsia="Geneva"/>
          <w:bCs/>
          <w:color w:val="000000" w:themeColor="text1"/>
          <w:sz w:val="24"/>
          <w:szCs w:val="24"/>
          <w:highlight w:val="white"/>
        </w:rPr>
      </w:pPr>
      <w:r>
        <w:rPr>
          <w:rFonts w:eastAsia="Calibri"/>
          <w:bCs/>
          <w:color w:val="000000" w:themeColor="text1"/>
          <w:sz w:val="24"/>
          <w:szCs w:val="24"/>
          <w:highlight w:val="white"/>
          <w:lang w:eastAsia="en-US"/>
        </w:rPr>
        <w:t>7.13. В случае нарушения Подрядчиком обязательств по выполнению работ, на срок свыше 60 (шестидесяти) календарных дней, Заказчик имеет право отказаться от Договора в одностороннем внесудебном порядке, а также потребовать возмещения убытков.</w:t>
      </w:r>
    </w:p>
    <w:p>
      <w:pPr>
        <w:pStyle w:val="Normal"/>
        <w:shd w:val="clear" w:color="auto" w:fill="FFFFFF"/>
        <w:spacing w:lineRule="auto" w:line="240"/>
        <w:ind w:firstLine="709"/>
        <w:rPr>
          <w:rFonts w:eastAsia="Geneva"/>
          <w:bCs/>
          <w:color w:val="000000" w:themeColor="text1"/>
          <w:sz w:val="24"/>
          <w:szCs w:val="24"/>
          <w:highlight w:val="white"/>
        </w:rPr>
      </w:pPr>
      <w:r>
        <w:rPr>
          <w:rFonts w:eastAsia="Geneva"/>
          <w:bCs/>
          <w:color w:val="000000" w:themeColor="text1"/>
          <w:sz w:val="24"/>
          <w:szCs w:val="24"/>
          <w:highlight w:val="white"/>
        </w:rPr>
      </w:r>
    </w:p>
    <w:p>
      <w:pPr>
        <w:pStyle w:val="ListParagraph"/>
        <w:shd w:val="clear" w:color="auto" w:fill="FFFFFF"/>
        <w:tabs>
          <w:tab w:val="clear" w:pos="709"/>
          <w:tab w:val="left" w:pos="1134" w:leader="none"/>
        </w:tabs>
        <w:ind w:left="567" w:hanging="0"/>
        <w:jc w:val="both"/>
        <w:rPr>
          <w:color w:val="000000" w:themeColor="text1"/>
          <w:highlight w:val="white"/>
        </w:rPr>
      </w:pPr>
      <w:r>
        <w:rPr>
          <w:color w:val="000000" w:themeColor="text1"/>
          <w:highlight w:val="white"/>
        </w:rPr>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8. Гарантии качества Результата работ</w:t>
      </w:r>
    </w:p>
    <w:p>
      <w:pPr>
        <w:pStyle w:val="Normal"/>
        <w:spacing w:lineRule="auto" w:line="240"/>
        <w:ind w:firstLine="709"/>
        <w:rPr>
          <w:bCs/>
          <w:color w:val="000000" w:themeColor="text1"/>
          <w:sz w:val="24"/>
          <w:szCs w:val="24"/>
          <w:highlight w:val="white"/>
        </w:rPr>
      </w:pPr>
      <w:r>
        <w:rPr>
          <w:color w:val="000000" w:themeColor="text1"/>
          <w:sz w:val="24"/>
          <w:szCs w:val="24"/>
          <w:highlight w:val="white"/>
        </w:rPr>
        <w:t xml:space="preserve">8.1. </w:t>
      </w:r>
      <w:bookmarkStart w:id="18" w:name="_Ref361337777"/>
      <w:r>
        <w:rPr>
          <w:color w:val="000000" w:themeColor="text1"/>
          <w:sz w:val="24"/>
          <w:szCs w:val="24"/>
          <w:highlight w:val="white"/>
        </w:rPr>
        <w:t xml:space="preserve"> Гарантийный</w:t>
      </w:r>
      <w:r>
        <w:rPr>
          <w:bCs/>
          <w:color w:val="000000" w:themeColor="text1"/>
          <w:sz w:val="24"/>
          <w:szCs w:val="24"/>
          <w:highlight w:val="white"/>
        </w:rPr>
        <w:t xml:space="preserve"> срок по Договору составляет 24</w:t>
      </w:r>
      <w:r>
        <w:rPr>
          <w:color w:val="000000" w:themeColor="text1"/>
          <w:sz w:val="24"/>
          <w:szCs w:val="24"/>
          <w:highlight w:val="white"/>
        </w:rPr>
        <w:t xml:space="preserve"> </w:t>
      </w:r>
      <w:r>
        <w:rPr>
          <w:bCs/>
          <w:color w:val="000000" w:themeColor="text1"/>
          <w:sz w:val="24"/>
          <w:szCs w:val="24"/>
          <w:highlight w:val="white"/>
        </w:rPr>
        <w:t>(двадцать четыре)</w:t>
      </w:r>
      <w:r>
        <w:rPr>
          <w:color w:val="000000" w:themeColor="text1"/>
          <w:sz w:val="24"/>
          <w:szCs w:val="24"/>
          <w:highlight w:val="white"/>
        </w:rPr>
        <w:t xml:space="preserve"> месяца</w:t>
      </w:r>
      <w:r>
        <w:rPr>
          <w:bCs/>
          <w:color w:val="000000" w:themeColor="text1"/>
          <w:sz w:val="24"/>
          <w:szCs w:val="24"/>
          <w:highlight w:val="white"/>
        </w:rPr>
        <w:t xml:space="preserve"> и начинает течь с даты подписания Сторонами А</w:t>
      </w:r>
      <w:r>
        <w:rPr>
          <w:color w:val="000000" w:themeColor="text1"/>
          <w:sz w:val="24"/>
          <w:szCs w:val="24"/>
          <w:highlight w:val="white"/>
        </w:rPr>
        <w:t>кта формы КС-11</w:t>
      </w:r>
      <w:r>
        <w:rPr>
          <w:bCs/>
          <w:color w:val="000000" w:themeColor="text1"/>
          <w:sz w:val="24"/>
          <w:szCs w:val="24"/>
          <w:highlight w:val="white"/>
        </w:rPr>
        <w:t xml:space="preserve"> </w:t>
      </w:r>
      <w:bookmarkEnd w:id="18"/>
      <w:r>
        <w:rPr>
          <w:bCs/>
          <w:color w:val="000000" w:themeColor="text1"/>
          <w:sz w:val="24"/>
          <w:szCs w:val="24"/>
          <w:highlight w:val="white"/>
        </w:rPr>
        <w:t xml:space="preserve">либо с даты прекращения (расторжения) Договора. Гарантийный срок может быть продлен в соответствии с условиями Договора.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8.2. Гарантийные обязательства Подрядчика наступают с даты подписания Акта формы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Normal"/>
        <w:shd w:val="clear" w:color="auto" w:fill="FFFFFF"/>
        <w:spacing w:lineRule="auto" w:line="240"/>
        <w:ind w:firstLine="709"/>
        <w:rPr>
          <w:bCs/>
          <w:color w:val="000000" w:themeColor="text1"/>
          <w:sz w:val="24"/>
          <w:szCs w:val="24"/>
          <w:highlight w:val="white"/>
        </w:rPr>
      </w:pPr>
      <w:r>
        <w:rPr>
          <w:color w:val="000000" w:themeColor="text1"/>
          <w:sz w:val="24"/>
          <w:szCs w:val="24"/>
          <w:highlight w:val="white"/>
        </w:rPr>
        <w:t xml:space="preserve">8.3. </w:t>
      </w:r>
      <w:bookmarkStart w:id="19" w:name="_Ref361337764"/>
      <w:r>
        <w:rPr>
          <w:bCs/>
          <w:color w:val="000000" w:themeColor="text1"/>
          <w:sz w:val="24"/>
          <w:szCs w:val="24"/>
          <w:highlight w:val="white"/>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8.4. 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9"/>
      <w:r>
        <w:rPr>
          <w:bCs/>
          <w:color w:val="000000" w:themeColor="text1"/>
          <w:sz w:val="24"/>
          <w:szCs w:val="24"/>
          <w:highlight w:val="white"/>
        </w:rPr>
        <w:t xml:space="preserve">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8.5. Наличие и полный перечень недостатков,</w:t>
      </w:r>
      <w:r>
        <w:rPr>
          <w:color w:val="000000" w:themeColor="text1"/>
          <w:sz w:val="24"/>
          <w:szCs w:val="24"/>
          <w:highlight w:val="white"/>
        </w:rPr>
        <w:t xml:space="preserve"> </w:t>
      </w:r>
      <w:r>
        <w:rPr>
          <w:bCs/>
          <w:color w:val="000000" w:themeColor="text1"/>
          <w:sz w:val="24"/>
          <w:szCs w:val="24"/>
          <w:highlight w:val="white"/>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8.6. Подрядчик обязан своими силами и за свой счет устранить недостатки,</w:t>
      </w:r>
      <w:r>
        <w:rPr>
          <w:color w:val="000000" w:themeColor="text1"/>
          <w:sz w:val="24"/>
          <w:szCs w:val="24"/>
          <w:highlight w:val="white"/>
        </w:rPr>
        <w:t xml:space="preserve"> </w:t>
      </w:r>
      <w:r>
        <w:rPr>
          <w:bCs/>
          <w:color w:val="000000" w:themeColor="text1"/>
          <w:sz w:val="24"/>
          <w:szCs w:val="24"/>
          <w:highlight w:val="white"/>
        </w:rPr>
        <w:t xml:space="preserve">несоответствия и / или дефекты, обнаруженные Заказчиком в течение Гарантийного срока, в срок, указанный в </w:t>
      </w:r>
      <w:bookmarkStart w:id="20" w:name="OLE_LINK5"/>
      <w:bookmarkStart w:id="21" w:name="OLE_LINK6"/>
      <w:r>
        <w:rPr>
          <w:bCs/>
          <w:color w:val="000000" w:themeColor="text1"/>
          <w:sz w:val="24"/>
          <w:szCs w:val="24"/>
          <w:highlight w:val="white"/>
        </w:rPr>
        <w:t>Акте о недостатках, составленном в порядке, установленном пунктом 8.5 Договора</w:t>
      </w:r>
      <w:bookmarkEnd w:id="20"/>
      <w:bookmarkEnd w:id="21"/>
      <w:r>
        <w:rPr>
          <w:bCs/>
          <w:color w:val="000000" w:themeColor="text1"/>
          <w:sz w:val="24"/>
          <w:szCs w:val="24"/>
          <w:highlight w:val="white"/>
        </w:rPr>
        <w:t>.</w:t>
      </w:r>
      <w:r>
        <w:rPr>
          <w:color w:val="000000" w:themeColor="text1"/>
          <w:sz w:val="24"/>
          <w:szCs w:val="24"/>
          <w:highlight w:val="white"/>
        </w:rPr>
        <w:t xml:space="preserve">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8.7. 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8.8. 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8.9. 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w:t>
      </w:r>
    </w:p>
    <w:p>
      <w:pPr>
        <w:pStyle w:val="ListParagraph"/>
        <w:shd w:val="clear" w:color="auto" w:fill="FFFFFF"/>
        <w:tabs>
          <w:tab w:val="clear" w:pos="709"/>
          <w:tab w:val="left" w:pos="426" w:leader="none"/>
        </w:tabs>
        <w:ind w:left="360" w:hanging="0"/>
        <w:jc w:val="center"/>
        <w:rPr>
          <w:bCs/>
        </w:rPr>
      </w:pPr>
      <w:r>
        <w:rPr>
          <w:b/>
          <w:bCs/>
        </w:rPr>
        <w:t>9.Исключительные права и патенты</w:t>
      </w:r>
    </w:p>
    <w:p>
      <w:pPr>
        <w:pStyle w:val="ListParagraph"/>
        <w:shd w:val="clear" w:color="auto" w:fill="FFFFFF"/>
        <w:tabs>
          <w:tab w:val="clear" w:pos="709"/>
          <w:tab w:val="left" w:pos="426" w:leader="none"/>
        </w:tabs>
        <w:ind w:left="0" w:firstLine="567"/>
        <w:jc w:val="both"/>
        <w:rPr>
          <w:bCs/>
        </w:rPr>
      </w:pPr>
      <w:r>
        <w:rPr>
          <w:bCs/>
        </w:rPr>
        <w:t xml:space="preserve">   </w:t>
      </w:r>
      <w:r>
        <w:rPr>
          <w:bCs/>
        </w:rPr>
        <w:t>9.1. 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shd w:val="clear" w:color="auto" w:fill="FFFFFF"/>
        <w:tabs>
          <w:tab w:val="clear" w:pos="709"/>
          <w:tab w:val="left" w:pos="426" w:leader="none"/>
        </w:tabs>
        <w:ind w:left="0" w:hanging="0"/>
        <w:jc w:val="both"/>
        <w:rPr>
          <w:bCs/>
        </w:rPr>
      </w:pPr>
      <w:r>
        <w:rPr>
          <w:bCs/>
        </w:rPr>
        <w:tab/>
        <w:t xml:space="preserve"> 9.2. 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shd w:val="clear" w:color="auto" w:fill="FFFFFF"/>
        <w:tabs>
          <w:tab w:val="left" w:pos="567" w:leader="none"/>
          <w:tab w:val="left" w:pos="709" w:leader="none"/>
        </w:tabs>
        <w:ind w:left="0" w:hanging="0"/>
        <w:jc w:val="both"/>
        <w:rPr>
          <w:bCs/>
        </w:rPr>
      </w:pPr>
      <w:r>
        <w:rPr>
          <w:bCs/>
        </w:rPr>
        <w:tab/>
        <w:t xml:space="preserve">9.3. 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shd w:val="clear" w:color="auto" w:fill="FFFFFF"/>
        <w:tabs>
          <w:tab w:val="clear" w:pos="709"/>
          <w:tab w:val="left" w:pos="567" w:leader="none"/>
        </w:tabs>
        <w:ind w:left="0" w:hanging="0"/>
        <w:jc w:val="both"/>
        <w:rPr>
          <w:bCs/>
        </w:rPr>
      </w:pPr>
      <w:r>
        <w:rPr>
          <w:bCs/>
        </w:rPr>
        <w:tab/>
        <w:t>9.4. 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shd w:val="clear" w:color="auto" w:fill="FFFFFF"/>
        <w:tabs>
          <w:tab w:val="clear" w:pos="709"/>
          <w:tab w:val="left" w:pos="1134" w:leader="none"/>
        </w:tabs>
        <w:ind w:left="0" w:firstLine="567"/>
        <w:jc w:val="both"/>
        <w:rPr>
          <w:bCs/>
        </w:rPr>
      </w:pPr>
      <w:r>
        <w:rPr>
          <w:bCs/>
        </w:rPr>
        <w:t>9.5.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hanging="0"/>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shd w:val="clear" w:color="auto" w:fill="FFFFFF"/>
        <w:tabs>
          <w:tab w:val="clear" w:pos="709"/>
          <w:tab w:val="left" w:pos="1134" w:leader="none"/>
        </w:tabs>
        <w:ind w:left="0" w:firstLine="567"/>
        <w:jc w:val="both"/>
        <w:rPr>
          <w:bCs/>
        </w:rPr>
      </w:pPr>
      <w:r>
        <w:rPr>
          <w:bCs/>
        </w:rPr>
        <w:t>9.6.В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shd w:val="clear" w:color="auto" w:fill="FFFFFF"/>
        <w:tabs>
          <w:tab w:val="clear" w:pos="709"/>
          <w:tab w:val="left" w:pos="1134" w:leader="none"/>
        </w:tabs>
        <w:ind w:left="0" w:hanging="0"/>
        <w:jc w:val="both"/>
        <w:rPr>
          <w:bCs/>
        </w:rPr>
      </w:pPr>
      <w:r>
        <w:rPr>
          <w:bCs/>
        </w:rPr>
        <w:t xml:space="preserve">         </w:t>
      </w:r>
      <w:r>
        <w:rPr>
          <w:bCs/>
        </w:rPr>
        <w:t>9.7. 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9"/>
          <w:tab w:val="left" w:pos="426" w:leader="none"/>
        </w:tabs>
        <w:ind w:left="931" w:hanging="0"/>
        <w:jc w:val="both"/>
        <w:rPr>
          <w:color w:val="000000" w:themeColor="text1"/>
          <w:highlight w:val="white"/>
        </w:rPr>
      </w:pPr>
      <w:r>
        <w:rPr>
          <w:color w:val="000000" w:themeColor="text1"/>
          <w:highlight w:val="white"/>
        </w:rPr>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10. Конфиденциальность</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10.1. 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выполнения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 данная Информация имеет действительную или потенциальную коммерческую ценность для Заказчика в силу неизвестности ее третьим лица</w:t>
      </w:r>
      <w:r>
        <w:rPr>
          <w:color w:val="000000" w:themeColor="text1"/>
          <w:sz w:val="24"/>
          <w:szCs w:val="24"/>
          <w:highlight w:val="white"/>
        </w:rPr>
        <w:t xml:space="preserve">м, в том числе по причине </w:t>
      </w:r>
      <w:r>
        <w:rPr>
          <w:bCs/>
          <w:color w:val="000000" w:themeColor="text1"/>
          <w:sz w:val="24"/>
          <w:szCs w:val="24"/>
          <w:highlight w:val="white"/>
        </w:rPr>
        <w:t>введения в отношении нее режима Коммерческой тайны;</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 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Normal"/>
        <w:shd w:val="clear" w:color="auto" w:fill="FFFFFF"/>
        <w:tabs>
          <w:tab w:val="clear" w:pos="709"/>
          <w:tab w:val="left" w:pos="1134" w:leader="none"/>
        </w:tabs>
        <w:spacing w:lineRule="auto" w:line="240"/>
        <w:ind w:firstLine="709"/>
        <w:rPr>
          <w:bCs/>
          <w:color w:val="000000" w:themeColor="text1"/>
          <w:sz w:val="24"/>
          <w:szCs w:val="24"/>
          <w:highlight w:val="white"/>
        </w:rPr>
      </w:pPr>
      <w:r>
        <w:rPr>
          <w:bCs/>
          <w:color w:val="000000" w:themeColor="text1"/>
          <w:sz w:val="24"/>
          <w:szCs w:val="24"/>
          <w:highlight w:val="white"/>
        </w:rPr>
        <w:t xml:space="preserve">10.2.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Normal"/>
        <w:shd w:val="clear" w:color="auto" w:fill="FFFFFF"/>
        <w:tabs>
          <w:tab w:val="clear" w:pos="709"/>
          <w:tab w:val="left" w:pos="1134" w:leader="none"/>
        </w:tabs>
        <w:spacing w:lineRule="auto" w:line="240"/>
        <w:ind w:firstLine="709"/>
        <w:rPr>
          <w:bCs/>
          <w:color w:val="000000" w:themeColor="text1"/>
          <w:sz w:val="24"/>
          <w:szCs w:val="24"/>
          <w:highlight w:val="white"/>
        </w:rPr>
      </w:pPr>
      <w:r>
        <w:rPr>
          <w:bCs/>
          <w:color w:val="000000" w:themeColor="text1"/>
          <w:sz w:val="24"/>
          <w:szCs w:val="24"/>
          <w:highlight w:val="white"/>
        </w:rPr>
        <w:t>10.3.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shd w:val="clear" w:color="auto" w:fill="FFFFFF"/>
        <w:tabs>
          <w:tab w:val="clear" w:pos="709"/>
          <w:tab w:val="left" w:pos="1134" w:leader="none"/>
        </w:tabs>
        <w:spacing w:lineRule="auto" w:line="240"/>
        <w:ind w:firstLine="709"/>
        <w:rPr>
          <w:bCs/>
          <w:color w:val="000000" w:themeColor="text1"/>
          <w:sz w:val="24"/>
          <w:szCs w:val="24"/>
          <w:highlight w:val="white"/>
        </w:rPr>
      </w:pPr>
      <w:r>
        <w:rPr>
          <w:bCs/>
          <w:color w:val="000000" w:themeColor="text1"/>
          <w:sz w:val="24"/>
          <w:szCs w:val="24"/>
          <w:highlight w:val="white"/>
        </w:rPr>
        <w:t>10.4. На документ, содержащий Информацию, Заказчиком может быть нанесен гриф «Коммерческая тайна» с указанием обладателя этой информации.</w:t>
      </w:r>
    </w:p>
    <w:p>
      <w:pPr>
        <w:pStyle w:val="Normal"/>
        <w:shd w:val="clear" w:color="auto" w:fill="FFFFFF"/>
        <w:tabs>
          <w:tab w:val="clear" w:pos="709"/>
          <w:tab w:val="left" w:pos="1134" w:leader="none"/>
        </w:tabs>
        <w:spacing w:lineRule="auto" w:line="240"/>
        <w:ind w:firstLine="709"/>
        <w:rPr>
          <w:bCs/>
          <w:color w:val="000000" w:themeColor="text1"/>
          <w:sz w:val="24"/>
          <w:szCs w:val="24"/>
          <w:highlight w:val="white"/>
        </w:rPr>
      </w:pPr>
      <w:r>
        <w:rPr>
          <w:bCs/>
          <w:color w:val="000000" w:themeColor="text1"/>
          <w:sz w:val="24"/>
          <w:szCs w:val="24"/>
          <w:highlight w:val="white"/>
        </w:rPr>
        <w:t>10.5. Информация может включать в себя, в том числе, но не ограничиваясь:</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финансовую (бухгалтерскую) отчетность;</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учетные регистры бухгалтерского учета;</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бизнес-планы;</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сведения о финансовых, правовых, организационных и других взаимоотношениях между Заказчиком и третьими лицами;</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сведения о подрядчиках, поставщиках оборудования и материалов, а также о покупателях продукции Заказчика и их аффилированных лицах;</w:t>
      </w:r>
    </w:p>
    <w:p>
      <w:pPr>
        <w:pStyle w:val="Normal"/>
        <w:tabs>
          <w:tab w:val="clear" w:pos="709"/>
          <w:tab w:val="left" w:pos="1418" w:leader="none"/>
        </w:tabs>
        <w:spacing w:lineRule="auto" w:line="240"/>
        <w:ind w:firstLine="709"/>
        <w:rPr>
          <w:bCs/>
          <w:color w:val="000000" w:themeColor="text1"/>
          <w:sz w:val="24"/>
          <w:szCs w:val="24"/>
          <w:highlight w:val="white"/>
        </w:rPr>
      </w:pPr>
      <w:r>
        <w:rPr>
          <w:bCs/>
          <w:color w:val="000000" w:themeColor="text1"/>
          <w:sz w:val="24"/>
          <w:szCs w:val="24"/>
          <w:highlight w:val="white"/>
        </w:rPr>
        <w:t>- сведения об объемах производства и / или реализации продукции и услуг Заказчика или его аффилированных лиц;</w:t>
      </w:r>
    </w:p>
    <w:p>
      <w:pPr>
        <w:pStyle w:val="Normal"/>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 материалы обобщения, анализа, оценки, иных действий по обработке вышеуказанной Информации и документов.</w:t>
      </w:r>
    </w:p>
    <w:p>
      <w:pPr>
        <w:pStyle w:val="Normal"/>
        <w:shd w:val="clear" w:color="auto" w:fill="FFFFFF"/>
        <w:spacing w:lineRule="auto" w:line="240" w:before="0" w:after="0"/>
        <w:ind w:firstLine="709"/>
        <w:contextualSpacing/>
        <w:rPr>
          <w:bCs/>
          <w:color w:val="000000" w:themeColor="text1"/>
          <w:sz w:val="24"/>
          <w:szCs w:val="24"/>
          <w:highlight w:val="white"/>
        </w:rPr>
      </w:pPr>
      <w:r>
        <w:rPr>
          <w:color w:val="000000" w:themeColor="text1"/>
          <w:sz w:val="24"/>
          <w:szCs w:val="24"/>
          <w:highlight w:val="white"/>
        </w:rPr>
        <w:t xml:space="preserve">10.6. </w:t>
      </w:r>
      <w:bookmarkStart w:id="22" w:name="_Ref361337849"/>
      <w:r>
        <w:rPr>
          <w:bCs/>
          <w:color w:val="000000" w:themeColor="text1"/>
          <w:sz w:val="24"/>
          <w:szCs w:val="24"/>
          <w:highlight w:val="white"/>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color w:val="000000" w:themeColor="text1"/>
          <w:sz w:val="24"/>
          <w:szCs w:val="24"/>
          <w:highlight w:val="white"/>
        </w:rPr>
        <w:t xml:space="preserve"> </w:t>
      </w:r>
      <w:r>
        <w:rPr>
          <w:bCs/>
          <w:color w:val="000000" w:themeColor="text1"/>
          <w:sz w:val="24"/>
          <w:szCs w:val="24"/>
          <w:highlight w:val="white"/>
        </w:rPr>
        <w:t>(расторжения) или исполнения, в том числе:</w:t>
      </w:r>
      <w:bookmarkEnd w:id="22"/>
      <w:r>
        <w:rPr>
          <w:bCs/>
          <w:color w:val="000000" w:themeColor="text1"/>
          <w:sz w:val="24"/>
          <w:szCs w:val="24"/>
          <w:highlight w:val="white"/>
        </w:rPr>
        <w:t xml:space="preserve"> </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10.6.2. 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 xml:space="preserve">10.6.3. Использовать Информацию исключительно для целей, для которых она была предоставлена; </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 xml:space="preserve">10.6.4. Не осуществлять действий (бездействия), результатом которых может быть несанкционированное раскрытие Информации третьим лицам; </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 xml:space="preserve">10.6.6.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shd w:val="clear" w:color="auto" w:fill="FFFFFF"/>
        <w:spacing w:lineRule="auto" w:line="240" w:before="0" w:after="0"/>
        <w:ind w:firstLine="709"/>
        <w:contextualSpacing/>
        <w:rPr>
          <w:bCs/>
          <w:color w:val="000000" w:themeColor="text1"/>
          <w:sz w:val="24"/>
          <w:szCs w:val="24"/>
          <w:highlight w:val="white"/>
        </w:rPr>
      </w:pPr>
      <w:r>
        <w:rPr>
          <w:color w:val="000000" w:themeColor="text1"/>
          <w:sz w:val="24"/>
          <w:szCs w:val="24"/>
          <w:highlight w:val="white"/>
        </w:rPr>
        <w:t xml:space="preserve">10.6.7. </w:t>
      </w:r>
      <w:bookmarkStart w:id="23" w:name="_Ref361337832"/>
      <w:r>
        <w:rPr>
          <w:bCs/>
          <w:color w:val="000000" w:themeColor="text1"/>
          <w:sz w:val="24"/>
          <w:szCs w:val="24"/>
          <w:highlight w:val="white"/>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3"/>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10.6.8. Не разглашать третьим лицам факты передачи или получения Информации.</w:t>
      </w:r>
    </w:p>
    <w:p>
      <w:pPr>
        <w:pStyle w:val="Normal"/>
        <w:shd w:val="clear" w:color="auto" w:fill="FFFFFF"/>
        <w:spacing w:lineRule="auto" w:line="240" w:before="0" w:after="0"/>
        <w:ind w:firstLine="709"/>
        <w:contextualSpacing/>
        <w:rPr>
          <w:bCs/>
          <w:color w:val="000000" w:themeColor="text1"/>
          <w:sz w:val="24"/>
          <w:szCs w:val="24"/>
          <w:highlight w:val="white"/>
        </w:rPr>
      </w:pPr>
      <w:r>
        <w:rPr>
          <w:color w:val="000000" w:themeColor="text1"/>
          <w:sz w:val="24"/>
          <w:szCs w:val="24"/>
          <w:highlight w:val="white"/>
        </w:rPr>
        <w:t xml:space="preserve">10.7. </w:t>
      </w:r>
      <w:bookmarkStart w:id="24" w:name="_Ref361337863"/>
      <w:r>
        <w:rPr>
          <w:bCs/>
          <w:color w:val="000000" w:themeColor="text1"/>
          <w:sz w:val="24"/>
          <w:szCs w:val="24"/>
          <w:highlight w:val="white"/>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4"/>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10.8. 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Normal"/>
        <w:shd w:val="clear" w:color="auto" w:fill="FFFFFF"/>
        <w:spacing w:lineRule="auto" w:line="240" w:before="0" w:after="0"/>
        <w:ind w:firstLine="709"/>
        <w:contextualSpacing/>
        <w:rPr>
          <w:bCs/>
          <w:color w:val="000000" w:themeColor="text1"/>
          <w:sz w:val="24"/>
          <w:szCs w:val="24"/>
          <w:highlight w:val="white"/>
        </w:rPr>
      </w:pPr>
      <w:r>
        <w:rPr>
          <w:bCs/>
          <w:color w:val="000000" w:themeColor="text1"/>
          <w:sz w:val="24"/>
          <w:szCs w:val="24"/>
          <w:highlight w:val="white"/>
        </w:rPr>
        <w:t>10.9. 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ListParagraph"/>
        <w:shd w:val="clear" w:color="auto" w:fill="FFFFFF"/>
        <w:ind w:left="0" w:hanging="0"/>
        <w:jc w:val="both"/>
        <w:rPr>
          <w:b/>
          <w:b/>
          <w:bCs/>
          <w:color w:val="000000" w:themeColor="text1"/>
          <w:highlight w:val="white"/>
        </w:rPr>
      </w:pPr>
      <w:r>
        <w:rPr>
          <w:b/>
          <w:bCs/>
          <w:color w:val="000000" w:themeColor="text1"/>
          <w:highlight w:val="white"/>
        </w:rPr>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11. Антикоррупционная оговорка</w:t>
      </w:r>
    </w:p>
    <w:p>
      <w:pPr>
        <w:pStyle w:val="Normal"/>
        <w:shd w:val="clear" w:color="auto" w:fill="FFFFFF"/>
        <w:spacing w:lineRule="auto" w:line="240"/>
        <w:ind w:firstLine="709"/>
        <w:rPr>
          <w:bCs/>
          <w:color w:val="000000" w:themeColor="text1"/>
          <w:sz w:val="24"/>
          <w:szCs w:val="24"/>
          <w:highlight w:val="white"/>
        </w:rPr>
      </w:pPr>
      <w:r>
        <w:rPr>
          <w:color w:val="000000" w:themeColor="text1"/>
          <w:sz w:val="24"/>
          <w:szCs w:val="24"/>
          <w:highlight w:val="white"/>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themeColor="text1"/>
          <w:sz w:val="24"/>
          <w:szCs w:val="24"/>
          <w:highlight w:val="white"/>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11.2.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spacing w:lineRule="auto" w:line="240"/>
        <w:ind w:firstLine="709"/>
        <w:rPr>
          <w:bCs/>
          <w:color w:val="000000" w:themeColor="text1"/>
          <w:sz w:val="24"/>
          <w:szCs w:val="24"/>
          <w:highlight w:val="white"/>
        </w:rPr>
      </w:pPr>
      <w:r>
        <w:rPr>
          <w:bCs/>
          <w:color w:val="000000" w:themeColor="text1"/>
          <w:sz w:val="24"/>
          <w:szCs w:val="24"/>
          <w:highlight w:val="white"/>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11.7. Каналы связи Линия доверия Группы РусГидро: </w:t>
      </w:r>
    </w:p>
    <w:p>
      <w:pPr>
        <w:pStyle w:val="ListParagraph"/>
        <w:shd w:val="clear" w:color="auto" w:fill="FFFFFF"/>
        <w:ind w:left="0" w:firstLine="709"/>
        <w:jc w:val="both"/>
        <w:rPr>
          <w:color w:val="000000" w:themeColor="text1"/>
          <w:highlight w:val="white"/>
        </w:rPr>
      </w:pPr>
      <w:r>
        <w:rPr>
          <w:color w:val="000000" w:themeColor="text1"/>
          <w:highlight w:val="white"/>
        </w:rPr>
        <w:t xml:space="preserve">11.7.1.Электронная почта: </w:t>
      </w:r>
      <w:hyperlink r:id="rId2" w:tgtFrame="mailto:ld@rushydro.ru">
        <w:r>
          <w:rPr>
            <w:color w:val="000000" w:themeColor="text1"/>
            <w:highlight w:val="white"/>
          </w:rPr>
          <w:t>ld@rushydro.ru</w:t>
        </w:r>
      </w:hyperlink>
      <w:r>
        <w:rPr>
          <w:color w:val="000000" w:themeColor="text1"/>
          <w:highlight w:val="white"/>
        </w:rPr>
        <w:t>;</w:t>
      </w:r>
    </w:p>
    <w:p>
      <w:pPr>
        <w:pStyle w:val="ListParagraph"/>
        <w:shd w:val="clear" w:color="auto" w:fill="FFFFFF"/>
        <w:ind w:left="0" w:firstLine="709"/>
        <w:jc w:val="both"/>
        <w:rPr>
          <w:color w:val="000000" w:themeColor="text1"/>
          <w:highlight w:val="white"/>
        </w:rPr>
      </w:pPr>
      <w:r>
        <w:rPr>
          <w:color w:val="000000" w:themeColor="text1"/>
          <w:highlight w:val="white"/>
        </w:rPr>
        <w:t>11.7.2. 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shd w:val="clear" w:color="auto" w:fill="FFFFFF"/>
        <w:ind w:left="0" w:firstLine="709"/>
        <w:jc w:val="both"/>
        <w:rPr>
          <w:color w:val="000000" w:themeColor="text1"/>
        </w:rPr>
      </w:pPr>
      <w:r>
        <w:rPr>
          <w:color w:val="000000" w:themeColor="text1"/>
          <w:highlight w:val="white"/>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ind w:left="0" w:firstLine="709"/>
        <w:jc w:val="both"/>
        <w:rPr>
          <w:color w:val="000000" w:themeColor="text1"/>
          <w:highlight w:val="white"/>
        </w:rPr>
      </w:pPr>
      <w:r>
        <w:rPr>
          <w:color w:val="000000" w:themeColor="text1"/>
          <w:highlight w:val="white"/>
        </w:rPr>
      </w:r>
    </w:p>
    <w:p>
      <w:pPr>
        <w:pStyle w:val="Normal"/>
        <w:shd w:val="clear" w:color="auto" w:fill="FFFFFF"/>
        <w:tabs>
          <w:tab w:val="clear" w:pos="709"/>
          <w:tab w:val="left" w:pos="567" w:leader="none"/>
          <w:tab w:val="left" w:pos="568" w:leader="none"/>
        </w:tabs>
        <w:spacing w:lineRule="auto" w:line="240"/>
        <w:ind w:hanging="0"/>
        <w:jc w:val="center"/>
        <w:rPr>
          <w:b/>
          <w:b/>
          <w:bCs/>
          <w:color w:val="000000" w:themeColor="text1"/>
          <w:sz w:val="24"/>
          <w:szCs w:val="24"/>
          <w:highlight w:val="white"/>
        </w:rPr>
      </w:pPr>
      <w:r>
        <w:rPr>
          <w:b/>
          <w:bCs/>
          <w:color w:val="000000" w:themeColor="text1"/>
          <w:sz w:val="24"/>
          <w:szCs w:val="24"/>
          <w:highlight w:val="white"/>
        </w:rPr>
        <w:t>12. Обстоятельства непреодолимой силы (форс-мажор)</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bCs/>
          <w:color w:val="000000" w:themeColor="text1"/>
          <w:sz w:val="24"/>
          <w:szCs w:val="24"/>
          <w:highlight w:val="white"/>
        </w:rPr>
        <w:t>12.1.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bCs/>
          <w:color w:val="000000" w:themeColor="text1"/>
          <w:sz w:val="24"/>
          <w:szCs w:val="24"/>
          <w:highlight w:val="white"/>
        </w:rPr>
        <w:t>12.2.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bCs/>
          <w:color w:val="000000" w:themeColor="text1"/>
          <w:sz w:val="24"/>
          <w:szCs w:val="24"/>
          <w:highlight w:val="white"/>
        </w:rPr>
        <w:t>12.3.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color w:val="000000" w:themeColor="text1"/>
          <w:sz w:val="24"/>
          <w:szCs w:val="24"/>
          <w:highlight w:val="white"/>
        </w:rPr>
        <w:t>12.4.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bCs/>
          <w:color w:val="000000" w:themeColor="text1"/>
          <w:sz w:val="24"/>
          <w:szCs w:val="24"/>
          <w:highlight w:val="white"/>
        </w:rPr>
        <w:t xml:space="preserve">12.5.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shd w:val="clear" w:color="auto" w:fill="FFFFFF"/>
        <w:tabs>
          <w:tab w:val="clear" w:pos="709"/>
          <w:tab w:val="left" w:pos="567" w:leader="none"/>
          <w:tab w:val="left" w:pos="568" w:leader="none"/>
        </w:tabs>
        <w:spacing w:lineRule="auto" w:line="240"/>
        <w:ind w:firstLine="709"/>
        <w:rPr>
          <w:bCs/>
          <w:color w:val="000000" w:themeColor="text1"/>
          <w:sz w:val="24"/>
          <w:szCs w:val="24"/>
          <w:highlight w:val="white"/>
        </w:rPr>
      </w:pPr>
      <w:r>
        <w:rPr>
          <w:bCs/>
          <w:color w:val="000000" w:themeColor="text1"/>
          <w:sz w:val="24"/>
          <w:szCs w:val="24"/>
          <w:highlight w:val="white"/>
        </w:rPr>
        <w:t>12.6.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7" w:leader="none"/>
          <w:tab w:val="left" w:pos="568" w:leader="none"/>
        </w:tabs>
        <w:ind w:left="0" w:firstLine="709"/>
        <w:jc w:val="both"/>
        <w:rPr>
          <w:bCs/>
          <w:color w:val="000000" w:themeColor="text1"/>
          <w:highlight w:val="white"/>
        </w:rPr>
      </w:pPr>
      <w:r>
        <w:rPr>
          <w:bCs/>
          <w:color w:val="000000" w:themeColor="text1"/>
          <w:highlight w:val="white"/>
        </w:rPr>
        <w:t>При этом любая из Сторон вправе отказаться от исполнения Договора в одностороннем внесудебном порядке.</w:t>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13. Особые положения</w:t>
      </w:r>
    </w:p>
    <w:p>
      <w:pPr>
        <w:pStyle w:val="Normal"/>
        <w:shd w:val="clear" w:color="auto" w:fill="FFFFFF"/>
        <w:spacing w:lineRule="auto" w:line="240"/>
        <w:ind w:firstLine="710"/>
        <w:rPr>
          <w:b/>
          <w:b/>
          <w:bCs/>
          <w:color w:val="000000" w:themeColor="text1"/>
          <w:sz w:val="24"/>
          <w:szCs w:val="24"/>
          <w:highlight w:val="white"/>
        </w:rPr>
      </w:pPr>
      <w:r>
        <w:rPr>
          <w:bCs/>
          <w:color w:val="000000" w:themeColor="text1"/>
          <w:sz w:val="24"/>
          <w:szCs w:val="24"/>
          <w:highlight w:val="white"/>
        </w:rPr>
        <w:t>13.1. Подрядчик обязуется не привлекать и не допускать привлечения к исполнению обязательств по Договору организации:</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tgtFrame="consultantplus://offline/ref=94D5CE8889791A29DE57299515463A9D6134D8237B999C803E6F853513x2A2P">
        <w:r>
          <w:rPr>
            <w:bCs/>
            <w:color w:val="000000" w:themeColor="text1"/>
            <w:sz w:val="24"/>
            <w:szCs w:val="24"/>
            <w:highlight w:val="white"/>
          </w:rPr>
          <w:t>№ 18162/09</w:t>
        </w:r>
      </w:hyperlink>
      <w:r>
        <w:rPr>
          <w:bCs/>
          <w:color w:val="000000" w:themeColor="text1"/>
          <w:sz w:val="24"/>
          <w:szCs w:val="24"/>
          <w:highlight w:val="white"/>
        </w:rPr>
        <w:t xml:space="preserve"> и от 25.05.2010 </w:t>
      </w:r>
      <w:hyperlink r:id="rId4" w:tgtFrame="consultantplus://offline/ref=94D5CE8889791A29DE57299515463A9D6135D2287D929C803E6F853513x2A2P">
        <w:r>
          <w:rPr>
            <w:bCs/>
            <w:color w:val="000000" w:themeColor="text1"/>
            <w:sz w:val="24"/>
            <w:szCs w:val="24"/>
            <w:highlight w:val="white"/>
          </w:rPr>
          <w:t>№ 15658/09</w:t>
        </w:r>
      </w:hyperlink>
      <w:r>
        <w:rPr>
          <w:bCs/>
          <w:color w:val="000000" w:themeColor="text1"/>
          <w:sz w:val="24"/>
          <w:szCs w:val="24"/>
          <w:highlight w:val="white"/>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Подрядчика, риск неисполнения обязательств, наличие у Подрядчика необходимых для исполнения обязательств ресурсов, и / или </w:t>
      </w:r>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 xml:space="preserve">- соответствующие </w:t>
      </w:r>
      <w:hyperlink r:id="rId5" w:tgtFrame="consultantplus://offline/ref=79440D5123ABA6A25F43346AB59DBAAC7032C8E1556DA64FAED62E167F76889C2B7C475C32EFC59BJ8rDH">
        <w:r>
          <w:rPr>
            <w:bCs/>
            <w:color w:val="000000" w:themeColor="text1"/>
            <w:sz w:val="24"/>
            <w:szCs w:val="24"/>
            <w:highlight w:val="white"/>
          </w:rPr>
          <w:t>Критери</w:t>
        </w:r>
      </w:hyperlink>
      <w:r>
        <w:rPr>
          <w:bCs/>
          <w:color w:val="000000" w:themeColor="text1"/>
          <w:sz w:val="24"/>
          <w:szCs w:val="24"/>
          <w:highlight w:val="white"/>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25" w:name="_Ref361337921"/>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13.2.  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Start w:id="26" w:name="_Ref361337948"/>
      <w:bookmarkEnd w:id="25"/>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Start w:id="27" w:name="_Ref361337980"/>
      <w:bookmarkEnd w:id="26"/>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13.4.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убытков Заказчика, причиненных в результате нарушения обязательств, установленных пунктами 13.1, 13.2 Договора.</w:t>
      </w:r>
      <w:bookmarkStart w:id="28" w:name="_Ref373243071"/>
      <w:bookmarkEnd w:id="27"/>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13.3 Договора.</w:t>
      </w:r>
      <w:bookmarkStart w:id="29" w:name="_Ref361337992"/>
      <w:bookmarkEnd w:id="28"/>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13.6. Заказчик вправе приостановить осуществление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29"/>
    </w:p>
    <w:p>
      <w:pPr>
        <w:pStyle w:val="Normal"/>
        <w:shd w:val="clear" w:color="auto" w:fill="FFFFFF"/>
        <w:spacing w:lineRule="auto" w:line="240"/>
        <w:ind w:firstLine="710"/>
        <w:rPr>
          <w:bCs/>
          <w:color w:val="000000" w:themeColor="text1"/>
          <w:sz w:val="24"/>
          <w:szCs w:val="24"/>
          <w:highlight w:val="white"/>
        </w:rPr>
      </w:pPr>
      <w:r>
        <w:rPr>
          <w:bCs/>
          <w:color w:val="000000" w:themeColor="text1"/>
          <w:sz w:val="24"/>
          <w:szCs w:val="24"/>
          <w:highlight w:val="white"/>
        </w:rPr>
        <w:t>13.7. 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1134" w:leader="none"/>
        </w:tabs>
        <w:ind w:left="0" w:firstLine="851"/>
        <w:jc w:val="both"/>
        <w:rPr>
          <w:bCs/>
          <w:color w:val="000000" w:themeColor="text1"/>
          <w:highlight w:val="white"/>
        </w:rPr>
      </w:pPr>
      <w:r>
        <w:rPr>
          <w:bCs/>
          <w:color w:val="000000" w:themeColor="text1"/>
          <w:highlight w:val="white"/>
        </w:rPr>
      </w:r>
    </w:p>
    <w:p>
      <w:pPr>
        <w:pStyle w:val="Normal"/>
        <w:shd w:val="clear" w:color="auto" w:fill="FFFFFF"/>
        <w:spacing w:lineRule="auto" w:line="240"/>
        <w:ind w:hanging="0"/>
        <w:jc w:val="center"/>
        <w:rPr>
          <w:b/>
          <w:b/>
          <w:color w:val="000000" w:themeColor="text1"/>
          <w:sz w:val="24"/>
          <w:szCs w:val="24"/>
          <w:highlight w:val="white"/>
        </w:rPr>
      </w:pPr>
      <w:r>
        <w:rPr>
          <w:b/>
          <w:bCs/>
          <w:color w:val="000000" w:themeColor="text1"/>
          <w:sz w:val="24"/>
          <w:szCs w:val="24"/>
          <w:highlight w:val="white"/>
        </w:rPr>
        <w:t>14. Заверения</w:t>
      </w:r>
      <w:r>
        <w:rPr>
          <w:b/>
          <w:color w:val="000000" w:themeColor="text1"/>
          <w:sz w:val="24"/>
          <w:szCs w:val="24"/>
          <w:highlight w:val="white"/>
        </w:rPr>
        <w:t xml:space="preserve"> Сторон</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14.1. Каждая</w:t>
      </w:r>
      <w:r>
        <w:rPr>
          <w:color w:val="000000" w:themeColor="text1"/>
          <w:sz w:val="24"/>
          <w:szCs w:val="24"/>
          <w:highlight w:val="white"/>
        </w:rPr>
        <w:t xml:space="preserve"> из Сторон заявляет и подтверждает другой Стороне, что: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лица, подписывающие от имени Сторон Договор, надлежащим образом уполномочены на его подписание;</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 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14.2. Подрядчик заявляет и заверяет Заказчика в том, что на момент заключения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учредителем / учредителями Подрядчика являются лица, не являющиеся массовыми учредителем / учредителями;</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руководителем Подрядчика является лицо, не являющееся массовым руководителем;</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 Подрядчик фактически находится по адресу, указанному в Едином государственном реестре юридических лиц;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своевременно и в полном объеме уплачивает налоги и сборы в соответствии с законодательством Российской Федерации;</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состоит в СРО, основанной на членстве лиц, осуществляющих строительство;</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выполнения Работ, и принимает на себя все расходы, риски и трудности исполнения обязательств, возникающих из Договора или в связи с ним;</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spacing w:lineRule="auto" w:line="240"/>
        <w:ind w:firstLine="709"/>
        <w:rPr>
          <w:color w:val="000000" w:themeColor="text1"/>
          <w:sz w:val="24"/>
          <w:szCs w:val="24"/>
          <w:highlight w:val="white"/>
        </w:rPr>
      </w:pPr>
      <w:r>
        <w:rPr>
          <w:color w:val="000000" w:themeColor="text1"/>
          <w:sz w:val="24"/>
          <w:szCs w:val="24"/>
          <w:highlight w:val="white"/>
        </w:rPr>
        <w:t xml:space="preserve">14.3.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14.4. В случае, если </w:t>
      </w:r>
      <w:r>
        <w:rPr>
          <w:bCs/>
          <w:color w:val="000000" w:themeColor="text1"/>
          <w:sz w:val="24"/>
          <w:szCs w:val="24"/>
          <w:highlight w:val="white"/>
        </w:rPr>
        <w:t>Подрядчик</w:t>
      </w:r>
      <w:r>
        <w:rPr>
          <w:color w:val="000000" w:themeColor="text1"/>
          <w:sz w:val="24"/>
          <w:szCs w:val="24"/>
          <w:highlight w:val="white"/>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color w:val="000000" w:themeColor="text1"/>
          <w:sz w:val="24"/>
          <w:szCs w:val="24"/>
          <w:highlight w:val="white"/>
        </w:rPr>
        <w:t xml:space="preserve">Подрядчик </w:t>
      </w:r>
      <w:r>
        <w:rPr>
          <w:color w:val="000000" w:themeColor="text1"/>
          <w:sz w:val="24"/>
          <w:szCs w:val="24"/>
          <w:highlight w:val="white"/>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14.5.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color w:val="000000" w:themeColor="text1"/>
          <w:highlight w:val="white"/>
        </w:rPr>
      </w:pPr>
      <w:r>
        <w:rPr>
          <w:color w:val="000000" w:themeColor="text1"/>
          <w:highlight w:val="white"/>
        </w:rPr>
      </w:r>
    </w:p>
    <w:p>
      <w:pPr>
        <w:pStyle w:val="Normal"/>
        <w:shd w:val="clear" w:color="auto" w:fill="FFFFFF"/>
        <w:spacing w:lineRule="auto" w:line="240"/>
        <w:ind w:hanging="0"/>
        <w:jc w:val="center"/>
        <w:rPr>
          <w:b/>
          <w:b/>
          <w:color w:val="000000" w:themeColor="text1"/>
          <w:sz w:val="24"/>
          <w:szCs w:val="24"/>
          <w:highlight w:val="white"/>
        </w:rPr>
      </w:pPr>
      <w:r>
        <w:rPr>
          <w:b/>
          <w:bCs/>
          <w:color w:val="000000" w:themeColor="text1"/>
          <w:sz w:val="24"/>
          <w:szCs w:val="24"/>
          <w:highlight w:val="white"/>
        </w:rPr>
        <w:t>15. П</w:t>
      </w:r>
      <w:r>
        <w:rPr>
          <w:b/>
          <w:color w:val="000000" w:themeColor="text1"/>
          <w:sz w:val="24"/>
          <w:szCs w:val="24"/>
          <w:highlight w:val="white"/>
        </w:rPr>
        <w:t>рекращение (расторжение)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15.1. 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15.2. 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ind w:left="0" w:firstLine="709"/>
        <w:jc w:val="both"/>
        <w:rPr>
          <w:color w:val="000000" w:themeColor="text1"/>
          <w:highlight w:val="white"/>
        </w:rPr>
      </w:pPr>
      <w:r>
        <w:rPr>
          <w:color w:val="000000" w:themeColor="text1"/>
          <w:highlight w:val="white"/>
        </w:rPr>
        <w:t>Возмещение убытков Подрядчика, вызванных отказом от Договора (исполнения Договора), Заказчиком не производится.</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15.3. В случае существенного нарушения условий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ind w:left="0" w:firstLine="709"/>
        <w:jc w:val="both"/>
        <w:rPr>
          <w:color w:val="000000" w:themeColor="text1"/>
          <w:highlight w:val="white"/>
        </w:rPr>
      </w:pPr>
      <w:r>
        <w:rPr>
          <w:color w:val="000000" w:themeColor="text1"/>
          <w:highlight w:val="white"/>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15.4. Стороны установили, что существенным нарушением Договора Подрядчиком является:</w:t>
      </w:r>
    </w:p>
    <w:p>
      <w:pPr>
        <w:pStyle w:val="Normal"/>
        <w:spacing w:lineRule="auto" w:line="240"/>
        <w:ind w:firstLine="709"/>
        <w:rPr>
          <w:color w:val="000000" w:themeColor="text1"/>
          <w:sz w:val="24"/>
          <w:szCs w:val="24"/>
          <w:highlight w:val="white"/>
        </w:rPr>
      </w:pPr>
      <w:r>
        <w:rPr>
          <w:color w:val="000000" w:themeColor="text1"/>
          <w:sz w:val="24"/>
          <w:szCs w:val="24"/>
          <w:highlight w:val="white"/>
        </w:rPr>
        <w:t xml:space="preserve">- 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w:t>
      </w:r>
      <w:r>
        <w:rPr>
          <w:bCs/>
          <w:color w:val="000000" w:themeColor="text1"/>
          <w:sz w:val="24"/>
          <w:szCs w:val="24"/>
          <w:highlight w:val="white"/>
        </w:rPr>
        <w:t>графиком выполнения и финансирования работ</w:t>
      </w:r>
      <w:r>
        <w:rPr>
          <w:color w:val="000000" w:themeColor="text1"/>
          <w:sz w:val="24"/>
          <w:szCs w:val="24"/>
          <w:highlight w:val="white"/>
        </w:rPr>
        <w:t xml:space="preserve"> (Приложение № 2 к Договору), более чем на 60 (шестьдесят) календарных дней по причинам, не зависящим от Заказчика;</w:t>
      </w:r>
    </w:p>
    <w:p>
      <w:pPr>
        <w:pStyle w:val="Normal"/>
        <w:spacing w:lineRule="auto" w:line="240"/>
        <w:ind w:firstLine="709"/>
        <w:rPr>
          <w:color w:val="000000" w:themeColor="text1"/>
          <w:sz w:val="24"/>
          <w:szCs w:val="24"/>
          <w:highlight w:val="white"/>
        </w:rPr>
      </w:pPr>
      <w:r>
        <w:rPr>
          <w:color w:val="000000" w:themeColor="text1"/>
          <w:sz w:val="24"/>
          <w:szCs w:val="24"/>
          <w:highlight w:val="white"/>
        </w:rPr>
        <w:t>- несоблюдение Подрядчиком требований к качеству Работ и / или используемых при выполнении Работ Материально-технических ресурсов</w:t>
      </w:r>
      <w:r>
        <w:rPr>
          <w:bCs/>
          <w:color w:val="000000" w:themeColor="text1"/>
          <w:sz w:val="24"/>
          <w:szCs w:val="24"/>
          <w:highlight w:val="white"/>
        </w:rPr>
        <w:t>,</w:t>
      </w:r>
      <w:r>
        <w:rPr>
          <w:color w:val="000000" w:themeColor="text1"/>
          <w:sz w:val="24"/>
          <w:szCs w:val="24"/>
          <w:highlight w:val="white"/>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Normal"/>
        <w:spacing w:lineRule="auto" w:line="240"/>
        <w:ind w:firstLine="709"/>
        <w:rPr>
          <w:color w:val="000000" w:themeColor="text1"/>
          <w:sz w:val="24"/>
          <w:szCs w:val="24"/>
          <w:highlight w:val="white"/>
        </w:rPr>
      </w:pPr>
      <w:r>
        <w:rPr>
          <w:color w:val="000000" w:themeColor="text1"/>
          <w:sz w:val="24"/>
          <w:szCs w:val="24"/>
          <w:highlight w:val="white"/>
        </w:rPr>
        <w:t>- 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Normal"/>
        <w:spacing w:lineRule="auto" w:line="240"/>
        <w:ind w:firstLine="709"/>
        <w:rPr>
          <w:color w:val="000000" w:themeColor="text1"/>
          <w:sz w:val="24"/>
          <w:szCs w:val="24"/>
          <w:highlight w:val="white"/>
        </w:rPr>
      </w:pPr>
      <w:r>
        <w:rPr>
          <w:color w:val="000000" w:themeColor="text1"/>
          <w:sz w:val="24"/>
          <w:szCs w:val="24"/>
          <w:highlight w:val="white"/>
        </w:rPr>
        <w:t>- 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Normal"/>
        <w:spacing w:lineRule="auto" w:line="240"/>
        <w:ind w:firstLine="709"/>
        <w:rPr>
          <w:color w:val="000000" w:themeColor="text1"/>
          <w:sz w:val="24"/>
          <w:szCs w:val="24"/>
          <w:highlight w:val="white"/>
        </w:rPr>
      </w:pPr>
      <w:r>
        <w:rPr>
          <w:color w:val="000000" w:themeColor="text1"/>
          <w:sz w:val="24"/>
          <w:szCs w:val="24"/>
          <w:highlight w:val="white"/>
        </w:rPr>
        <w:t>- 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Normal"/>
        <w:spacing w:lineRule="auto" w:line="240"/>
        <w:ind w:firstLine="709"/>
        <w:rPr>
          <w:color w:val="000000" w:themeColor="text1"/>
          <w:sz w:val="24"/>
          <w:szCs w:val="24"/>
          <w:highlight w:val="white"/>
        </w:rPr>
      </w:pPr>
      <w:r>
        <w:rPr>
          <w:color w:val="000000" w:themeColor="text1"/>
          <w:sz w:val="24"/>
          <w:szCs w:val="24"/>
          <w:highlight w:val="white"/>
        </w:rPr>
        <w:t>- наложение ареста на имущество Подрядчика, введение арбитражным судом процедуры несостоятельности (банкротства) в отношении Подрядчика;</w:t>
      </w:r>
    </w:p>
    <w:p>
      <w:pPr>
        <w:pStyle w:val="Normal"/>
        <w:spacing w:lineRule="auto" w:line="240"/>
        <w:ind w:firstLine="709"/>
        <w:rPr>
          <w:color w:val="000000" w:themeColor="text1"/>
          <w:sz w:val="24"/>
          <w:szCs w:val="24"/>
          <w:highlight w:val="white"/>
        </w:rPr>
      </w:pPr>
      <w:r>
        <w:rPr>
          <w:color w:val="000000" w:themeColor="text1"/>
          <w:sz w:val="24"/>
          <w:szCs w:val="24"/>
          <w:highlight w:val="white"/>
        </w:rPr>
        <w:t>- привлечение к выполнению Работ по Договору третьих лиц (Субподрядчиков) с нарушением требований, установленных пунктом 2.4.2 Договора;</w:t>
      </w:r>
    </w:p>
    <w:p>
      <w:pPr>
        <w:pStyle w:val="Normal"/>
        <w:spacing w:lineRule="auto" w:line="240"/>
        <w:ind w:firstLine="709"/>
        <w:rPr>
          <w:color w:val="000000" w:themeColor="text1"/>
          <w:sz w:val="24"/>
          <w:szCs w:val="24"/>
          <w:highlight w:val="white"/>
        </w:rPr>
      </w:pPr>
      <w:r>
        <w:rPr>
          <w:color w:val="000000" w:themeColor="text1"/>
          <w:sz w:val="24"/>
          <w:szCs w:val="24"/>
          <w:highlight w:val="white"/>
        </w:rPr>
        <w:t>- 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15.5. 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15.6. 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Объектов, и в согласованные Сторонами сроки:</w:t>
      </w:r>
    </w:p>
    <w:p>
      <w:pPr>
        <w:pStyle w:val="ListParagraph"/>
        <w:numPr>
          <w:ilvl w:val="0"/>
          <w:numId w:val="5"/>
        </w:numPr>
        <w:shd w:val="clear" w:color="auto" w:fill="FFFFFF"/>
        <w:ind w:left="0" w:firstLine="709"/>
        <w:jc w:val="both"/>
        <w:rPr>
          <w:color w:val="000000" w:themeColor="text1"/>
          <w:highlight w:val="white"/>
        </w:rPr>
      </w:pPr>
      <w:r>
        <w:rPr>
          <w:color w:val="000000" w:themeColor="text1"/>
          <w:highlight w:val="white"/>
        </w:rPr>
        <w:t>передать Заказчику Результат работ, техническую и иную полученную документацию</w:t>
      </w:r>
      <w:r>
        <w:rPr>
          <w:bCs/>
          <w:color w:val="000000" w:themeColor="text1"/>
          <w:highlight w:val="white"/>
        </w:rPr>
        <w:t>;</w:t>
      </w:r>
    </w:p>
    <w:p>
      <w:pPr>
        <w:pStyle w:val="ListParagraph"/>
        <w:numPr>
          <w:ilvl w:val="0"/>
          <w:numId w:val="5"/>
        </w:numPr>
        <w:shd w:val="clear" w:color="auto" w:fill="FFFFFF"/>
        <w:ind w:left="0" w:firstLine="709"/>
        <w:jc w:val="both"/>
        <w:rPr>
          <w:color w:val="000000" w:themeColor="text1"/>
          <w:highlight w:val="white"/>
        </w:rPr>
      </w:pPr>
      <w:r>
        <w:rPr>
          <w:color w:val="000000" w:themeColor="text1"/>
          <w:highlight w:val="white"/>
        </w:rPr>
        <w:t>вывезти с места выполнения Работ собственную строительную технику и персонал Подрядчика;</w:t>
      </w:r>
    </w:p>
    <w:p>
      <w:pPr>
        <w:pStyle w:val="ListParagraph"/>
        <w:numPr>
          <w:ilvl w:val="0"/>
          <w:numId w:val="5"/>
        </w:numPr>
        <w:shd w:val="clear" w:color="auto" w:fill="FFFFFF"/>
        <w:ind w:left="0" w:firstLine="709"/>
        <w:jc w:val="both"/>
        <w:rPr>
          <w:color w:val="000000" w:themeColor="text1"/>
          <w:highlight w:val="white"/>
        </w:rPr>
      </w:pPr>
      <w:r>
        <w:rPr>
          <w:color w:val="000000" w:themeColor="text1"/>
          <w:highlight w:val="white"/>
        </w:rPr>
        <w:t xml:space="preserve"> </w:t>
      </w:r>
      <w:r>
        <w:rPr>
          <w:color w:val="000000" w:themeColor="text1"/>
          <w:highlight w:val="white"/>
        </w:rPr>
        <w:t>удалить с места выполнения Работ весь мусор и все остаточные продукты любого рода и оставить площадку чистой и безопасной.</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15.7.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r>
    </w:p>
    <w:p>
      <w:pPr>
        <w:pStyle w:val="Normal"/>
        <w:shd w:val="clear" w:color="auto" w:fill="FFFFFF"/>
        <w:spacing w:lineRule="auto" w:line="240"/>
        <w:ind w:hanging="0"/>
        <w:jc w:val="center"/>
        <w:rPr>
          <w:bCs/>
          <w:color w:val="000000" w:themeColor="text1"/>
          <w:sz w:val="24"/>
          <w:szCs w:val="24"/>
          <w:highlight w:val="white"/>
        </w:rPr>
      </w:pPr>
      <w:r>
        <w:rPr>
          <w:b/>
          <w:bCs/>
          <w:color w:val="000000" w:themeColor="text1"/>
          <w:sz w:val="24"/>
          <w:szCs w:val="24"/>
          <w:highlight w:val="white"/>
        </w:rPr>
        <w:t>16. Разрешение споров</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16.1.  Все споры,</w:t>
      </w:r>
      <w:r>
        <w:rPr>
          <w:bCs/>
          <w:color w:val="000000" w:themeColor="text1"/>
          <w:sz w:val="24"/>
          <w:szCs w:val="24"/>
          <w:highlight w:val="white"/>
        </w:rPr>
        <w:t xml:space="preserve">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 xml:space="preserve">16.2. Споры, указанные в пункте 16.1 Договора, которые не были урегулированы Сторонами путем переговоров, подлежат разрешению в Арбитражном суде </w:t>
      </w:r>
      <w:r>
        <w:rPr>
          <w:color w:val="000000" w:themeColor="text1"/>
          <w:sz w:val="24"/>
          <w:szCs w:val="24"/>
          <w:highlight w:val="white"/>
        </w:rPr>
        <w:t>Республики Саха (Якутия)</w:t>
      </w:r>
      <w:r>
        <w:rPr>
          <w:bCs/>
          <w:color w:val="000000" w:themeColor="text1"/>
          <w:sz w:val="24"/>
          <w:szCs w:val="24"/>
          <w:highlight w:val="white"/>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6.2.8 Договора.</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16.3.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16.4.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Normal"/>
        <w:shd w:val="clear" w:color="auto" w:fill="FFFFFF"/>
        <w:spacing w:lineRule="auto" w:line="240"/>
        <w:ind w:firstLine="709"/>
        <w:rPr>
          <w:color w:val="000000" w:themeColor="text1"/>
          <w:sz w:val="24"/>
          <w:szCs w:val="24"/>
          <w:highlight w:val="white"/>
        </w:rPr>
      </w:pPr>
      <w:r>
        <w:rPr>
          <w:bCs/>
          <w:color w:val="000000" w:themeColor="text1"/>
          <w:sz w:val="24"/>
          <w:szCs w:val="24"/>
          <w:highlight w:val="white"/>
        </w:rPr>
        <w:t>16.5. 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ind w:left="0" w:firstLine="709"/>
        <w:rPr>
          <w:bCs/>
          <w:color w:val="000000" w:themeColor="text1"/>
          <w:highlight w:val="white"/>
        </w:rPr>
      </w:pPr>
      <w:r>
        <w:rPr>
          <w:bCs/>
          <w:color w:val="000000" w:themeColor="text1"/>
          <w:highlight w:val="white"/>
        </w:rPr>
      </w:r>
    </w:p>
    <w:p>
      <w:pPr>
        <w:pStyle w:val="Normal"/>
        <w:shd w:val="clear" w:color="auto" w:fill="FFFFFF"/>
        <w:spacing w:lineRule="auto" w:line="240"/>
        <w:ind w:hanging="0"/>
        <w:jc w:val="center"/>
        <w:rPr>
          <w:b/>
          <w:b/>
          <w:bCs/>
          <w:color w:val="000000" w:themeColor="text1"/>
          <w:sz w:val="24"/>
          <w:szCs w:val="24"/>
          <w:highlight w:val="white"/>
        </w:rPr>
      </w:pPr>
      <w:r>
        <w:rPr>
          <w:b/>
          <w:bCs/>
          <w:color w:val="000000" w:themeColor="text1"/>
          <w:sz w:val="24"/>
          <w:szCs w:val="24"/>
          <w:highlight w:val="white"/>
        </w:rPr>
        <w:t>17. Заключительные положения</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17.1. Договор вступает в силу с даты его подписания Сторонами и действует до «___»___________ 20__г., а в части не исполненных обязательств, до полного их исполнения.</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17.2.</w:t>
      </w:r>
      <w:r>
        <w:rPr>
          <w:color w:val="000000" w:themeColor="text1"/>
          <w:sz w:val="24"/>
          <w:szCs w:val="24"/>
        </w:rPr>
        <w:t xml:space="preserve"> </w:t>
      </w: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spacing w:lineRule="auto" w:line="240"/>
        <w:ind w:firstLine="709"/>
        <w:rPr/>
      </w:pPr>
      <w:r>
        <w:rPr>
          <w:color w:val="000000" w:themeColor="text1"/>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Style9"/>
          <w:color w:val="000000" w:themeColor="text1"/>
          <w:sz w:val="24"/>
          <w:szCs w:val="24"/>
          <w:lang w:eastAsia="en-US"/>
        </w:rPr>
        <w:footnoteReference w:id="2"/>
      </w:r>
      <w:r>
        <w:rPr>
          <w:color w:val="000000" w:themeColor="text1"/>
          <w:sz w:val="24"/>
          <w:szCs w:val="24"/>
          <w:lang w:eastAsia="en-US"/>
        </w:rPr>
        <w:t>.</w:t>
      </w:r>
    </w:p>
    <w:p>
      <w:pPr>
        <w:pStyle w:val="Normal"/>
        <w:shd w:val="clear" w:color="auto" w:fill="FFFFFF"/>
        <w:spacing w:lineRule="auto" w:line="240"/>
        <w:ind w:firstLine="709"/>
        <w:rPr>
          <w:color w:val="000000" w:themeColor="text1"/>
          <w:sz w:val="24"/>
          <w:szCs w:val="24"/>
          <w:highlight w:val="lightGray"/>
        </w:rPr>
      </w:pPr>
      <w:r>
        <w:rPr>
          <w:color w:val="000000" w:themeColor="text1"/>
          <w:sz w:val="24"/>
          <w:szCs w:val="24"/>
          <w:highlight w:val="white"/>
          <w:lang w:eastAsia="en-US"/>
        </w:rPr>
        <w:t>Договор составлен в 2 (двух) оригинальных экземплярах, имеющих равную юридическую силу, по 1 (одному) для каждой из Сторон</w:t>
      </w:r>
      <w:r>
        <w:rPr>
          <w:rStyle w:val="Style9"/>
          <w:color w:val="000000" w:themeColor="text1"/>
          <w:sz w:val="24"/>
          <w:szCs w:val="24"/>
          <w:highlight w:val="lightGray"/>
          <w:lang w:eastAsia="en-US"/>
        </w:rPr>
        <w:footnoteReference w:id="3"/>
      </w:r>
      <w:r>
        <w:rPr>
          <w:color w:val="000000" w:themeColor="text1"/>
          <w:sz w:val="24"/>
          <w:szCs w:val="24"/>
          <w:highlight w:val="lightGray"/>
          <w:lang w:eastAsia="en-US"/>
        </w:rPr>
        <w:t>.</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17.3.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Стороны, за исключением случаев изменения реквизитов Сторон, предусмотренных пунктом 17.7 Договора.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17.4. Все приложения к Договору, а также любые изменения и дополнения, оформленные надлежащим образом, являются неотъемлемой частью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17.5. В случае наличия любых расхождений между содержанием Договора и приложений к нему, приоритет имеет текст Договора.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17.6. 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17.7. </w:t>
      </w:r>
      <w:bookmarkStart w:id="30" w:name="_Ref361338004"/>
      <w:r>
        <w:rPr>
          <w:color w:val="000000" w:themeColor="text1"/>
          <w:sz w:val="24"/>
          <w:szCs w:val="24"/>
          <w:highlight w:val="white"/>
        </w:rPr>
        <w:t>Стороны обязуются уведомлять друг друга об изменении адреса, наименования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0"/>
      <w:r>
        <w:rPr>
          <w:color w:val="000000" w:themeColor="text1"/>
          <w:sz w:val="24"/>
          <w:szCs w:val="24"/>
          <w:highlight w:val="white"/>
        </w:rPr>
        <w:t xml:space="preserve"> </w:t>
      </w:r>
    </w:p>
    <w:p>
      <w:pPr>
        <w:pStyle w:val="Normal"/>
        <w:shd w:val="clear" w:color="auto" w:fill="FFFFFF"/>
        <w:spacing w:lineRule="auto" w:line="240"/>
        <w:ind w:firstLine="709"/>
        <w:rPr>
          <w:bCs/>
          <w:color w:val="000000" w:themeColor="text1"/>
          <w:sz w:val="24"/>
          <w:szCs w:val="24"/>
          <w:highlight w:val="white"/>
        </w:rPr>
      </w:pPr>
      <w:r>
        <w:rPr>
          <w:color w:val="000000" w:themeColor="text1"/>
          <w:sz w:val="24"/>
          <w:szCs w:val="24"/>
          <w:highlight w:val="white"/>
        </w:rPr>
        <w:t>17.8. Письма, уведомления и / или сообщения направляются Стороне</w:t>
      </w:r>
      <w:r>
        <w:rPr>
          <w:bCs/>
          <w:color w:val="000000" w:themeColor="text1"/>
          <w:sz w:val="24"/>
          <w:szCs w:val="24"/>
          <w:highlight w:val="white"/>
        </w:rPr>
        <w:t>-</w:t>
      </w:r>
      <w:r>
        <w:rPr>
          <w:color w:val="000000" w:themeColor="text1"/>
          <w:sz w:val="24"/>
          <w:szCs w:val="24"/>
          <w:highlight w:val="white"/>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color w:val="000000" w:themeColor="text1"/>
          <w:sz w:val="24"/>
          <w:szCs w:val="24"/>
          <w:highlight w:val="white"/>
        </w:rPr>
        <w:t xml:space="preserve"> будет считаться полученным</w:t>
      </w:r>
      <w:r>
        <w:rPr>
          <w:color w:val="000000" w:themeColor="text1"/>
          <w:sz w:val="24"/>
          <w:szCs w:val="24"/>
          <w:highlight w:val="white"/>
        </w:rPr>
        <w:t xml:space="preserve">: </w:t>
      </w:r>
    </w:p>
    <w:p>
      <w:pPr>
        <w:pStyle w:val="Normal"/>
        <w:widowControl w:val="false"/>
        <w:spacing w:lineRule="auto" w:line="240"/>
        <w:ind w:firstLine="709"/>
        <w:rPr>
          <w:color w:val="000000" w:themeColor="text1"/>
          <w:sz w:val="24"/>
          <w:szCs w:val="24"/>
          <w:highlight w:val="white"/>
        </w:rPr>
      </w:pPr>
      <w:r>
        <w:rPr>
          <w:bCs/>
          <w:color w:val="000000" w:themeColor="text1"/>
          <w:sz w:val="24"/>
          <w:szCs w:val="24"/>
          <w:highlight w:val="white"/>
        </w:rPr>
        <w:t xml:space="preserve">17.8.1. Заказным почтовым отправлением с уведомлением о вручении – </w:t>
      </w:r>
      <w:r>
        <w:rPr>
          <w:color w:val="000000" w:themeColor="text1"/>
          <w:sz w:val="24"/>
          <w:szCs w:val="24"/>
          <w:highlight w:val="white"/>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widowControl w:val="false"/>
        <w:spacing w:lineRule="auto" w:line="240"/>
        <w:ind w:firstLine="709"/>
        <w:rPr>
          <w:color w:val="000000" w:themeColor="text1"/>
          <w:sz w:val="24"/>
          <w:szCs w:val="24"/>
          <w:highlight w:val="white"/>
        </w:rPr>
      </w:pPr>
      <w:r>
        <w:rPr>
          <w:bCs/>
          <w:color w:val="000000" w:themeColor="text1"/>
          <w:sz w:val="24"/>
          <w:szCs w:val="24"/>
          <w:highlight w:val="white"/>
        </w:rPr>
        <w:t>17.8.2. Доставкой лично или курьером Стороны-отправителя – в дату и время фактического приема уведомления Стороной-получателем с отметкой о получении</w:t>
      </w:r>
      <w:r>
        <w:rPr>
          <w:color w:val="000000" w:themeColor="text1"/>
          <w:sz w:val="24"/>
          <w:szCs w:val="24"/>
          <w:highlight w:val="white"/>
        </w:rPr>
        <w:t xml:space="preserve">; </w:t>
      </w:r>
    </w:p>
    <w:p>
      <w:pPr>
        <w:pStyle w:val="Normal"/>
        <w:widowControl w:val="false"/>
        <w:spacing w:lineRule="auto" w:line="240"/>
        <w:ind w:firstLine="709"/>
        <w:rPr>
          <w:color w:val="000000" w:themeColor="text1"/>
          <w:sz w:val="24"/>
          <w:szCs w:val="24"/>
          <w:highlight w:val="white"/>
        </w:rPr>
      </w:pPr>
      <w:r>
        <w:rPr>
          <w:bCs/>
          <w:color w:val="000000" w:themeColor="text1"/>
          <w:sz w:val="24"/>
          <w:szCs w:val="24"/>
          <w:highlight w:val="white"/>
        </w:rPr>
        <w:t>17.8.3. Посредством электронной почты (</w:t>
      </w:r>
      <w:r>
        <w:rPr>
          <w:bCs/>
          <w:color w:val="000000" w:themeColor="text1"/>
          <w:sz w:val="24"/>
          <w:szCs w:val="24"/>
          <w:highlight w:val="white"/>
          <w:lang w:val="en-US"/>
        </w:rPr>
        <w:t>e</w:t>
      </w:r>
      <w:r>
        <w:rPr>
          <w:bCs/>
          <w:color w:val="000000" w:themeColor="text1"/>
          <w:sz w:val="24"/>
          <w:szCs w:val="24"/>
          <w:highlight w:val="white"/>
        </w:rPr>
        <w:t>-</w:t>
      </w:r>
      <w:r>
        <w:rPr>
          <w:bCs/>
          <w:color w:val="000000" w:themeColor="text1"/>
          <w:sz w:val="24"/>
          <w:szCs w:val="24"/>
          <w:highlight w:val="white"/>
          <w:lang w:val="en-US"/>
        </w:rPr>
        <w:t>mail</w:t>
      </w:r>
      <w:r>
        <w:rPr>
          <w:bCs/>
          <w:color w:val="000000" w:themeColor="text1"/>
          <w:sz w:val="24"/>
          <w:szCs w:val="24"/>
          <w:highlight w:val="white"/>
        </w:rPr>
        <w:t>) – в дату направления электронного сообщения, зафиксированную на почтовом сервере отправителя.</w:t>
      </w:r>
      <w:r>
        <w:rPr>
          <w:color w:val="000000" w:themeColor="text1"/>
          <w:sz w:val="24"/>
          <w:szCs w:val="24"/>
          <w:highlight w:val="white"/>
        </w:rPr>
        <w:tab/>
        <w:tab/>
        <w:tab/>
        <w:tab/>
        <w:tab/>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 – 17.8.2 Договора.</w:t>
      </w:r>
    </w:p>
    <w:p>
      <w:pPr>
        <w:pStyle w:val="Normal"/>
        <w:spacing w:lineRule="auto" w:line="240"/>
        <w:ind w:firstLine="709"/>
        <w:rPr>
          <w:color w:val="000000" w:themeColor="text1"/>
          <w:sz w:val="24"/>
          <w:szCs w:val="24"/>
          <w:highlight w:val="white"/>
        </w:rPr>
      </w:pPr>
      <w:r>
        <w:rPr>
          <w:color w:val="000000" w:themeColor="text1"/>
          <w:sz w:val="24"/>
          <w:szCs w:val="24"/>
          <w:highlight w:val="white"/>
        </w:rPr>
        <w:t>17.9. 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w:t>
      </w:r>
      <w:r>
        <w:fldChar w:fldCharType="begin"/>
      </w:r>
      <w:r>
        <w:rPr>
          <w:sz w:val="24"/>
          <w:szCs w:val="24"/>
          <w:highlight w:val="white"/>
          <w:color w:val="000000"/>
        </w:rPr>
        <w:instrText> HYPERLINK "https://www.diadoc.ru/" \l "_blank"</w:instrText>
      </w:r>
      <w:r>
        <w:rPr>
          <w:sz w:val="24"/>
          <w:szCs w:val="24"/>
          <w:highlight w:val="white"/>
          <w:color w:val="000000"/>
        </w:rPr>
        <w:fldChar w:fldCharType="separate"/>
      </w:r>
      <w:r>
        <w:rPr>
          <w:color w:val="000000" w:themeColor="text1"/>
          <w:sz w:val="24"/>
          <w:szCs w:val="24"/>
          <w:highlight w:val="white"/>
        </w:rPr>
        <w:t>https://www.diadoc.ru/</w:t>
      </w:r>
      <w:r>
        <w:rPr>
          <w:sz w:val="24"/>
          <w:szCs w:val="24"/>
          <w:highlight w:val="white"/>
          <w:color w:val="000000"/>
        </w:rPr>
        <w:fldChar w:fldCharType="end"/>
      </w:r>
      <w:r>
        <w:rPr>
          <w:color w:val="000000" w:themeColor="text1"/>
          <w:sz w:val="24"/>
          <w:szCs w:val="24"/>
          <w:highlight w:val="white"/>
        </w:rPr>
        <w:t>).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 xml:space="preserve">17.10.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spacing w:lineRule="auto" w:line="240"/>
        <w:ind w:firstLine="709"/>
        <w:rPr>
          <w:bCs/>
          <w:color w:val="000000" w:themeColor="text1"/>
          <w:sz w:val="24"/>
          <w:szCs w:val="24"/>
          <w:highlight w:val="white"/>
        </w:rPr>
      </w:pPr>
      <w:r>
        <w:rPr>
          <w:bCs/>
          <w:color w:val="000000" w:themeColor="text1"/>
          <w:sz w:val="24"/>
          <w:szCs w:val="24"/>
          <w:highlight w:val="white"/>
        </w:rPr>
        <w:t>17.11. 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t xml:space="preserve">17.12. 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spacing w:lineRule="auto" w:line="240"/>
        <w:ind w:firstLine="709"/>
        <w:rPr>
          <w:color w:val="000000" w:themeColor="text1"/>
          <w:sz w:val="24"/>
          <w:szCs w:val="24"/>
          <w:highlight w:val="white"/>
        </w:rPr>
      </w:pPr>
      <w:r>
        <w:rPr>
          <w:color w:val="000000" w:themeColor="text1"/>
          <w:sz w:val="24"/>
          <w:szCs w:val="24"/>
          <w:highlight w:val="white"/>
        </w:rPr>
      </w:r>
    </w:p>
    <w:p>
      <w:pPr>
        <w:pStyle w:val="Normal"/>
        <w:shd w:val="clear" w:color="auto" w:fill="FFFFFF"/>
        <w:spacing w:lineRule="auto" w:line="240"/>
        <w:ind w:hanging="0"/>
        <w:jc w:val="center"/>
        <w:rPr>
          <w:b/>
          <w:b/>
          <w:bCs/>
          <w:color w:val="000000" w:themeColor="text1"/>
          <w:sz w:val="22"/>
          <w:szCs w:val="22"/>
          <w:highlight w:val="white"/>
        </w:rPr>
      </w:pPr>
      <w:r>
        <w:rPr>
          <w:b/>
          <w:bCs/>
          <w:color w:val="000000" w:themeColor="text1"/>
          <w:sz w:val="24"/>
          <w:szCs w:val="24"/>
          <w:highlight w:val="white"/>
        </w:rPr>
        <w:t>18. Список приложений</w:t>
      </w:r>
    </w:p>
    <w:tbl>
      <w:tblPr>
        <w:tblStyle w:val="afff1"/>
        <w:tblW w:w="974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802"/>
        <w:gridCol w:w="6944"/>
      </w:tblGrid>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
                <w:b/>
                <w:bCs/>
                <w:color w:val="000000" w:themeColor="text1"/>
                <w:highlight w:val="white"/>
              </w:rPr>
            </w:pPr>
            <w:r>
              <w:rPr>
                <w:rFonts w:eastAsia="Noto Serif CJK SC" w:cs="Arial Unicode MS"/>
                <w:bCs/>
                <w:color w:val="000000" w:themeColor="text1"/>
                <w:kern w:val="0"/>
                <w:highlight w:val="white"/>
                <w:lang w:val="ru-RU" w:eastAsia="ru-RU" w:bidi="ar-SA"/>
              </w:rPr>
              <w:t xml:space="preserve">Приложение № 1     -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
                <w:b/>
                <w:bCs/>
                <w:color w:val="000000" w:themeColor="text1"/>
                <w:highlight w:val="white"/>
              </w:rPr>
            </w:pPr>
            <w:r>
              <w:rPr>
                <w:rFonts w:eastAsia="Noto Serif CJK SC" w:cs="Arial Unicode MS"/>
                <w:bCs/>
                <w:color w:val="000000" w:themeColor="text1"/>
                <w:kern w:val="0"/>
                <w:highlight w:val="white"/>
                <w:lang w:val="ru-RU" w:eastAsia="ru-RU" w:bidi="ar-SA"/>
              </w:rPr>
              <w:t>Техническое задание;</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 xml:space="preserve">Приложение № 2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Календарный график выполнения и финансирования Работ;</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
                <w:b/>
                <w:bCs/>
                <w:color w:val="000000" w:themeColor="text1"/>
                <w:highlight w:val="white"/>
              </w:rPr>
            </w:pPr>
            <w:r>
              <w:rPr>
                <w:rFonts w:eastAsia="Noto Serif CJK SC" w:cs="Arial Unicode MS"/>
                <w:bCs/>
                <w:color w:val="000000" w:themeColor="text1"/>
                <w:kern w:val="0"/>
                <w:highlight w:val="white"/>
                <w:lang w:val="ru-RU" w:eastAsia="ru-RU" w:bidi="ar-SA"/>
              </w:rPr>
              <w:t>Приложение № 3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
                <w:b/>
                <w:bCs/>
                <w:color w:val="000000" w:themeColor="text1"/>
                <w:highlight w:val="white"/>
              </w:rPr>
            </w:pPr>
            <w:r>
              <w:rPr>
                <w:rFonts w:eastAsia="Noto Serif CJK SC" w:cs="Arial Unicode MS"/>
                <w:bCs/>
                <w:color w:val="000000" w:themeColor="text1"/>
                <w:kern w:val="0"/>
                <w:highlight w:val="white"/>
                <w:lang w:val="ru-RU" w:eastAsia="ru-RU" w:bidi="ar-SA"/>
              </w:rPr>
              <w:t>Сводный сметный расчет;</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color w:val="000000" w:themeColor="text1"/>
                <w:highlight w:val="white"/>
              </w:rPr>
            </w:pPr>
            <w:r>
              <w:rPr>
                <w:rFonts w:eastAsia="Noto Serif CJK SC" w:cs="Arial Unicode MS"/>
                <w:bCs/>
                <w:color w:val="000000" w:themeColor="text1"/>
                <w:kern w:val="0"/>
                <w:highlight w:val="white"/>
                <w:lang w:val="ru-RU" w:eastAsia="ru-RU" w:bidi="ar-SA"/>
              </w:rPr>
              <w:t>Приложение № 4</w:t>
            </w:r>
          </w:p>
        </w:tc>
        <w:tc>
          <w:tcPr>
            <w:tcW w:w="6944" w:type="dxa"/>
            <w:tcBorders>
              <w:top w:val="nil"/>
              <w:left w:val="nil"/>
              <w:bottom w:val="nil"/>
              <w:right w:val="nil"/>
            </w:tcBorders>
          </w:tcPr>
          <w:p>
            <w:pPr>
              <w:pStyle w:val="Normal"/>
              <w:widowControl w:val="false"/>
              <w:shd w:val="clear" w:color="auto" w:fill="FFFFFF"/>
              <w:tabs>
                <w:tab w:val="clear" w:pos="709"/>
                <w:tab w:val="left" w:pos="-108" w:leader="none"/>
              </w:tabs>
              <w:suppressAutoHyphens w:val="true"/>
              <w:spacing w:lineRule="auto" w:line="240" w:before="0" w:after="0"/>
              <w:ind w:hanging="0"/>
              <w:rPr>
                <w:color w:val="000000" w:themeColor="text1"/>
                <w:sz w:val="24"/>
                <w:szCs w:val="24"/>
                <w:highlight w:val="white"/>
              </w:rPr>
            </w:pPr>
            <w:r>
              <w:rPr>
                <w:rFonts w:eastAsia="Noto Serif CJK SC" w:cs="Arial Unicode MS"/>
                <w:bCs/>
                <w:color w:val="000000" w:themeColor="text1"/>
                <w:kern w:val="0"/>
                <w:sz w:val="24"/>
                <w:szCs w:val="24"/>
                <w:highlight w:val="white"/>
                <w:lang w:val="ru-RU" w:eastAsia="ru-RU" w:bidi="ar-SA"/>
              </w:rPr>
              <w:t>Форма Акта сдачи-приемки Проектных работ;</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 5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jc w:val="both"/>
              <w:rPr>
                <w:b/>
                <w:b/>
                <w:bCs/>
                <w:color w:val="000000" w:themeColor="text1"/>
                <w:highlight w:val="white"/>
              </w:rPr>
            </w:pPr>
            <w:r>
              <w:rPr>
                <w:rFonts w:eastAsia="Noto Serif CJK SC" w:cs="Arial Unicode MS"/>
                <w:bCs/>
                <w:color w:val="000000" w:themeColor="text1"/>
                <w:kern w:val="0"/>
                <w:highlight w:val="white"/>
                <w:lang w:val="ru-RU" w:eastAsia="ru-RU" w:bidi="ar-SA"/>
              </w:rPr>
              <w:t>Форма Акта сдачи-приемки технической и иной документации;</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 6     -</w:t>
            </w:r>
          </w:p>
        </w:tc>
        <w:tc>
          <w:tcPr>
            <w:tcW w:w="6944" w:type="dxa"/>
            <w:tcBorders>
              <w:top w:val="nil"/>
              <w:left w:val="nil"/>
              <w:bottom w:val="nil"/>
              <w:right w:val="nil"/>
            </w:tcBorders>
          </w:tcPr>
          <w:p>
            <w:pPr>
              <w:pStyle w:val="Normal"/>
              <w:widowControl w:val="false"/>
              <w:shd w:val="clear" w:color="auto" w:fill="FFFFFF"/>
              <w:suppressAutoHyphens w:val="true"/>
              <w:spacing w:lineRule="auto" w:line="240" w:before="0" w:after="0"/>
              <w:ind w:hanging="0"/>
              <w:rPr>
                <w:bCs/>
                <w:color w:val="000000" w:themeColor="text1"/>
                <w:sz w:val="24"/>
                <w:szCs w:val="24"/>
                <w:highlight w:val="white"/>
              </w:rPr>
            </w:pPr>
            <w:r>
              <w:rPr>
                <w:rFonts w:eastAsia="Noto Serif CJK SC" w:cs="Arial Unicode MS"/>
                <w:bCs/>
                <w:color w:val="000000" w:themeColor="text1"/>
                <w:kern w:val="0"/>
                <w:sz w:val="24"/>
                <w:szCs w:val="24"/>
                <w:highlight w:val="white"/>
                <w:lang w:val="ru-RU" w:eastAsia="ru-RU" w:bidi="ar-SA"/>
              </w:rPr>
              <w:t>Перечень допусков, разрешений и лицензий Подрядчика;</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 7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
                <w:b/>
                <w:bCs/>
                <w:color w:val="000000" w:themeColor="text1"/>
                <w:highlight w:val="white"/>
              </w:rPr>
            </w:pPr>
            <w:r>
              <w:rPr>
                <w:rFonts w:eastAsia="Noto Serif CJK SC" w:cs="Arial Unicode MS"/>
                <w:bCs/>
                <w:color w:val="000000" w:themeColor="text1"/>
                <w:kern w:val="0"/>
                <w:highlight w:val="white"/>
                <w:lang w:val="ru-RU" w:eastAsia="ru-RU" w:bidi="ar-SA"/>
              </w:rPr>
              <w:t xml:space="preserve">Памятка </w:t>
            </w:r>
            <w:r>
              <w:rPr>
                <w:rFonts w:eastAsia="Noto Serif CJK SC" w:cs="Arial Unicode MS"/>
                <w:color w:val="000000" w:themeColor="text1"/>
                <w:kern w:val="0"/>
                <w:highlight w:val="white"/>
                <w:lang w:val="ru-RU" w:eastAsia="ru-RU" w:bidi="ar-SA"/>
              </w:rPr>
              <w:t>об обязанности и ответственности работника;</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 8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Форма Акт освидетельствования выполненных работ;</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 9     -</w:t>
            </w:r>
          </w:p>
        </w:tc>
        <w:tc>
          <w:tcPr>
            <w:tcW w:w="6944"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Критерии отбора Банков-Гарантов;</w:t>
            </w:r>
          </w:p>
        </w:tc>
      </w:tr>
      <w:tr>
        <w:trPr/>
        <w:tc>
          <w:tcPr>
            <w:tcW w:w="2802" w:type="dxa"/>
            <w:tcBorders>
              <w:top w:val="nil"/>
              <w:left w:val="nil"/>
              <w:bottom w:val="nil"/>
              <w:right w:val="nil"/>
            </w:tcBorders>
          </w:tcPr>
          <w:p>
            <w:pPr>
              <w:pStyle w:val="ListParagraph"/>
              <w:widowControl w:val="false"/>
              <w:tabs>
                <w:tab w:val="clear" w:pos="709"/>
                <w:tab w:val="left" w:pos="426" w:leader="none"/>
              </w:tabs>
              <w:suppressAutoHyphens w:val="true"/>
              <w:spacing w:before="0" w:after="0"/>
              <w:ind w:left="0" w:hanging="0"/>
              <w:contextualSpacing/>
              <w:rPr>
                <w:bCs/>
                <w:color w:val="000000" w:themeColor="text1"/>
                <w:highlight w:val="white"/>
              </w:rPr>
            </w:pPr>
            <w:r>
              <w:rPr>
                <w:rFonts w:eastAsia="Noto Serif CJK SC" w:cs="Arial Unicode MS"/>
                <w:bCs/>
                <w:color w:val="000000" w:themeColor="text1"/>
                <w:kern w:val="0"/>
                <w:highlight w:val="white"/>
                <w:lang w:val="ru-RU" w:eastAsia="ru-RU" w:bidi="ar-SA"/>
              </w:rPr>
              <w:t>Приложение №10    -</w:t>
            </w:r>
          </w:p>
        </w:tc>
        <w:tc>
          <w:tcPr>
            <w:tcW w:w="6944" w:type="dxa"/>
            <w:tcBorders>
              <w:top w:val="nil"/>
              <w:left w:val="nil"/>
              <w:bottom w:val="nil"/>
              <w:right w:val="nil"/>
            </w:tcBorders>
          </w:tcPr>
          <w:p>
            <w:pPr>
              <w:pStyle w:val="ListParagraph"/>
              <w:widowControl w:val="false"/>
              <w:shd w:val="clear" w:color="auto" w:fill="FFFFFF"/>
              <w:tabs>
                <w:tab w:val="clear" w:pos="709"/>
                <w:tab w:val="left" w:pos="426" w:leader="none"/>
              </w:tabs>
              <w:suppressAutoHyphens w:val="true"/>
              <w:spacing w:before="0" w:after="0"/>
              <w:ind w:left="0" w:hanging="0"/>
              <w:contextualSpacing/>
              <w:jc w:val="both"/>
              <w:rPr>
                <w:bCs/>
              </w:rPr>
            </w:pPr>
            <w:r>
              <w:rPr>
                <w:rFonts w:eastAsia="Noto Serif CJK SC" w:cs="Arial Unicode MS"/>
                <w:bCs/>
                <w:color w:val="000000" w:themeColor="text1"/>
                <w:kern w:val="0"/>
                <w:highlight w:val="white"/>
                <w:lang w:val="ru-RU" w:eastAsia="ru-RU" w:bidi="ar-SA"/>
              </w:rPr>
              <w:t>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tc>
      </w:tr>
    </w:tbl>
    <w:p>
      <w:pPr>
        <w:pStyle w:val="Normal"/>
        <w:shd w:val="clear" w:color="auto" w:fill="FFFFFF"/>
        <w:tabs>
          <w:tab w:val="clear" w:pos="709"/>
          <w:tab w:val="left" w:pos="426" w:leader="none"/>
        </w:tabs>
        <w:ind w:hanging="0"/>
        <w:rPr>
          <w:b/>
          <w:b/>
          <w:bCs/>
          <w:color w:val="000000" w:themeColor="text1"/>
          <w:sz w:val="24"/>
          <w:szCs w:val="24"/>
          <w:highlight w:val="white"/>
        </w:rPr>
      </w:pPr>
      <w:r>
        <w:rPr>
          <w:b/>
          <w:bCs/>
          <w:color w:val="000000" w:themeColor="text1"/>
          <w:sz w:val="24"/>
          <w:szCs w:val="24"/>
          <w:highlight w:val="white"/>
        </w:rPr>
      </w:r>
    </w:p>
    <w:p>
      <w:pPr>
        <w:pStyle w:val="Normal"/>
        <w:shd w:val="clear" w:color="auto" w:fill="FFFFFF"/>
        <w:tabs>
          <w:tab w:val="clear" w:pos="709"/>
          <w:tab w:val="left" w:pos="426" w:leader="none"/>
        </w:tabs>
        <w:ind w:hanging="0"/>
        <w:jc w:val="center"/>
        <w:rPr>
          <w:b/>
          <w:b/>
          <w:bCs/>
          <w:color w:val="000000" w:themeColor="text1"/>
          <w:sz w:val="24"/>
          <w:szCs w:val="24"/>
          <w:highlight w:val="white"/>
        </w:rPr>
      </w:pPr>
      <w:r>
        <w:rPr>
          <w:b/>
          <w:bCs/>
          <w:color w:val="000000" w:themeColor="text1"/>
          <w:sz w:val="24"/>
          <w:szCs w:val="24"/>
          <w:highlight w:val="white"/>
        </w:rPr>
        <w:t>19. Адреса и платежные реквизиты Сторон</w:t>
      </w:r>
    </w:p>
    <w:tbl>
      <w:tblPr>
        <w:tblW w:w="9236"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33"/>
        <w:gridCol w:w="4702"/>
      </w:tblGrid>
      <w:tr>
        <w:trPr>
          <w:trHeight w:val="2410" w:hRule="atLeast"/>
        </w:trPr>
        <w:tc>
          <w:tcPr>
            <w:tcW w:w="4533" w:type="dxa"/>
            <w:tcBorders/>
          </w:tcPr>
          <w:p>
            <w:pPr>
              <w:pStyle w:val="Normal"/>
              <w:widowControl w:val="false"/>
              <w:spacing w:lineRule="auto" w:line="240"/>
              <w:ind w:hanging="0"/>
              <w:jc w:val="center"/>
              <w:rPr>
                <w:b/>
                <w:b/>
                <w:color w:val="000000" w:themeColor="text1"/>
                <w:sz w:val="24"/>
                <w:szCs w:val="24"/>
                <w:highlight w:val="white"/>
              </w:rPr>
            </w:pPr>
            <w:r>
              <w:rPr>
                <w:b/>
                <w:color w:val="000000" w:themeColor="text1"/>
                <w:sz w:val="24"/>
                <w:szCs w:val="24"/>
                <w:highlight w:val="white"/>
              </w:rPr>
              <w:t>ЗАКАЗЧИК:</w:t>
            </w:r>
          </w:p>
          <w:p>
            <w:pPr>
              <w:pStyle w:val="Normal"/>
              <w:widowControl w:val="false"/>
              <w:spacing w:lineRule="auto" w:line="240"/>
              <w:ind w:hanging="0"/>
              <w:jc w:val="left"/>
              <w:rPr>
                <w:bCs/>
                <w:color w:val="000000" w:themeColor="text1"/>
                <w:sz w:val="24"/>
                <w:szCs w:val="24"/>
                <w:highlight w:val="white"/>
              </w:rPr>
            </w:pPr>
            <w:r>
              <w:rPr>
                <w:bCs/>
                <w:color w:val="000000" w:themeColor="text1"/>
                <w:sz w:val="24"/>
                <w:szCs w:val="24"/>
                <w:highlight w:val="white"/>
              </w:rPr>
            </w:r>
          </w:p>
          <w:p>
            <w:pPr>
              <w:pStyle w:val="Normal"/>
              <w:widowControl w:val="false"/>
              <w:spacing w:lineRule="auto" w:line="240"/>
              <w:ind w:hanging="0"/>
              <w:jc w:val="left"/>
              <w:rPr>
                <w:bCs/>
                <w:color w:val="000000" w:themeColor="text1"/>
                <w:sz w:val="24"/>
                <w:szCs w:val="24"/>
                <w:highlight w:val="white"/>
              </w:rPr>
            </w:pPr>
            <w:r>
              <w:rPr>
                <w:bCs/>
                <w:color w:val="000000" w:themeColor="text1"/>
                <w:sz w:val="24"/>
                <w:szCs w:val="24"/>
                <w:highlight w:val="white"/>
              </w:rPr>
            </w:r>
          </w:p>
          <w:p>
            <w:pPr>
              <w:pStyle w:val="Normal"/>
              <w:widowControl w:val="false"/>
              <w:spacing w:lineRule="auto" w:line="240"/>
              <w:ind w:hanging="0"/>
              <w:jc w:val="left"/>
              <w:rPr>
                <w:bCs/>
                <w:color w:val="000000" w:themeColor="text1"/>
                <w:sz w:val="24"/>
                <w:szCs w:val="24"/>
                <w:highlight w:val="white"/>
              </w:rPr>
            </w:pPr>
            <w:r>
              <w:rPr>
                <w:bCs/>
                <w:color w:val="000000" w:themeColor="text1"/>
                <w:sz w:val="24"/>
                <w:szCs w:val="24"/>
                <w:highlight w:val="white"/>
              </w:rPr>
            </w:r>
          </w:p>
          <w:p>
            <w:pPr>
              <w:pStyle w:val="Normal"/>
              <w:widowControl w:val="false"/>
              <w:spacing w:lineRule="auto" w:line="240"/>
              <w:ind w:hanging="0"/>
              <w:jc w:val="left"/>
              <w:rPr>
                <w:bCs/>
                <w:color w:val="000000" w:themeColor="text1"/>
                <w:sz w:val="24"/>
                <w:szCs w:val="24"/>
                <w:highlight w:val="white"/>
              </w:rPr>
            </w:pPr>
            <w:r>
              <w:rPr>
                <w:bCs/>
                <w:color w:val="000000" w:themeColor="text1"/>
                <w:sz w:val="24"/>
                <w:szCs w:val="24"/>
                <w:highlight w:val="white"/>
              </w:rPr>
            </w:r>
          </w:p>
          <w:p>
            <w:pPr>
              <w:pStyle w:val="Normal"/>
              <w:widowControl w:val="false"/>
              <w:spacing w:lineRule="auto" w:line="240"/>
              <w:ind w:hanging="0"/>
              <w:jc w:val="left"/>
              <w:rPr>
                <w:color w:val="000000" w:themeColor="text1"/>
                <w:sz w:val="24"/>
                <w:szCs w:val="24"/>
                <w:highlight w:val="white"/>
              </w:rPr>
            </w:pPr>
            <w:r>
              <w:rPr>
                <w:bCs/>
                <w:color w:val="000000" w:themeColor="text1"/>
                <w:sz w:val="24"/>
                <w:szCs w:val="24"/>
                <w:highlight w:val="white"/>
              </w:rPr>
              <w:t>МП</w:t>
            </w:r>
          </w:p>
        </w:tc>
        <w:tc>
          <w:tcPr>
            <w:tcW w:w="4702" w:type="dxa"/>
            <w:tcBorders/>
          </w:tcPr>
          <w:tbl>
            <w:tblPr>
              <w:tblW w:w="456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64"/>
            </w:tblGrid>
            <w:tr>
              <w:trPr>
                <w:trHeight w:val="4539" w:hRule="atLeast"/>
              </w:trPr>
              <w:tc>
                <w:tcPr>
                  <w:tcW w:w="4564" w:type="dxa"/>
                  <w:tcBorders/>
                </w:tcPr>
                <w:p>
                  <w:pPr>
                    <w:pStyle w:val="Normal"/>
                    <w:widowControl w:val="false"/>
                    <w:spacing w:lineRule="auto" w:line="240"/>
                    <w:ind w:hanging="0"/>
                    <w:jc w:val="center"/>
                    <w:rPr>
                      <w:b/>
                      <w:b/>
                      <w:color w:val="000000" w:themeColor="text1"/>
                      <w:sz w:val="24"/>
                      <w:szCs w:val="24"/>
                      <w:highlight w:val="white"/>
                    </w:rPr>
                  </w:pPr>
                  <w:r>
                    <w:rPr>
                      <w:b/>
                      <w:color w:val="000000" w:themeColor="text1"/>
                      <w:sz w:val="24"/>
                      <w:szCs w:val="24"/>
                      <w:highlight w:val="white"/>
                    </w:rPr>
                    <w:t>ПОДРЯДЧИК:</w:t>
                  </w:r>
                </w:p>
                <w:p>
                  <w:pPr>
                    <w:pStyle w:val="Normal"/>
                    <w:widowControl w:val="false"/>
                    <w:spacing w:lineRule="auto" w:line="240"/>
                    <w:ind w:hanging="0"/>
                    <w:jc w:val="left"/>
                    <w:rPr>
                      <w:color w:val="000000" w:themeColor="text1"/>
                      <w:sz w:val="24"/>
                      <w:szCs w:val="24"/>
                      <w:highlight w:val="white"/>
                    </w:rPr>
                  </w:pPr>
                  <w:r>
                    <w:rPr>
                      <w:color w:val="000000" w:themeColor="text1"/>
                      <w:sz w:val="24"/>
                      <w:szCs w:val="24"/>
                      <w:highlight w:val="white"/>
                    </w:rPr>
                  </w:r>
                </w:p>
                <w:p>
                  <w:pPr>
                    <w:pStyle w:val="Normal"/>
                    <w:widowControl w:val="false"/>
                    <w:spacing w:lineRule="auto" w:line="240"/>
                    <w:ind w:hanging="0"/>
                    <w:jc w:val="left"/>
                    <w:rPr>
                      <w:color w:val="000000" w:themeColor="text1"/>
                      <w:sz w:val="24"/>
                      <w:szCs w:val="24"/>
                      <w:highlight w:val="white"/>
                    </w:rPr>
                  </w:pPr>
                  <w:r>
                    <w:rPr>
                      <w:color w:val="000000" w:themeColor="text1"/>
                      <w:sz w:val="24"/>
                      <w:szCs w:val="24"/>
                      <w:highlight w:val="white"/>
                    </w:rPr>
                  </w:r>
                </w:p>
                <w:p>
                  <w:pPr>
                    <w:pStyle w:val="Normal"/>
                    <w:widowControl w:val="false"/>
                    <w:spacing w:lineRule="auto" w:line="240"/>
                    <w:ind w:hanging="0"/>
                    <w:jc w:val="left"/>
                    <w:rPr>
                      <w:color w:val="000000" w:themeColor="text1"/>
                      <w:sz w:val="24"/>
                      <w:szCs w:val="24"/>
                      <w:highlight w:val="white"/>
                    </w:rPr>
                  </w:pPr>
                  <w:r>
                    <w:rPr>
                      <w:color w:val="000000" w:themeColor="text1"/>
                      <w:sz w:val="24"/>
                      <w:szCs w:val="24"/>
                      <w:highlight w:val="white"/>
                    </w:rPr>
                  </w:r>
                </w:p>
                <w:p>
                  <w:pPr>
                    <w:pStyle w:val="Normal"/>
                    <w:widowControl w:val="false"/>
                    <w:spacing w:lineRule="auto" w:line="240"/>
                    <w:ind w:hanging="0"/>
                    <w:jc w:val="left"/>
                    <w:rPr>
                      <w:color w:val="000000" w:themeColor="text1"/>
                      <w:sz w:val="24"/>
                      <w:szCs w:val="24"/>
                      <w:highlight w:val="white"/>
                    </w:rPr>
                  </w:pPr>
                  <w:r>
                    <w:rPr>
                      <w:color w:val="000000" w:themeColor="text1"/>
                      <w:sz w:val="24"/>
                      <w:szCs w:val="24"/>
                      <w:highlight w:val="white"/>
                    </w:rPr>
                  </w:r>
                </w:p>
                <w:p>
                  <w:pPr>
                    <w:pStyle w:val="Normal"/>
                    <w:widowControl w:val="false"/>
                    <w:spacing w:lineRule="auto" w:line="240"/>
                    <w:ind w:hanging="0"/>
                    <w:jc w:val="left"/>
                    <w:rPr>
                      <w:color w:val="000000" w:themeColor="text1"/>
                      <w:sz w:val="24"/>
                      <w:szCs w:val="24"/>
                      <w:highlight w:val="white"/>
                    </w:rPr>
                  </w:pPr>
                  <w:r>
                    <w:rPr>
                      <w:color w:val="000000" w:themeColor="text1"/>
                      <w:sz w:val="24"/>
                      <w:szCs w:val="24"/>
                      <w:highlight w:val="white"/>
                    </w:rPr>
                    <w:t>МП</w:t>
                  </w:r>
                </w:p>
                <w:p>
                  <w:pPr>
                    <w:pStyle w:val="Normal"/>
                    <w:keepNext w:val="true"/>
                    <w:keepLines/>
                    <w:widowControl w:val="false"/>
                    <w:spacing w:lineRule="auto" w:line="240"/>
                    <w:ind w:hanging="0"/>
                    <w:jc w:val="left"/>
                    <w:rPr>
                      <w:bCs/>
                      <w:color w:val="000000" w:themeColor="text1"/>
                      <w:sz w:val="24"/>
                      <w:szCs w:val="24"/>
                      <w:highlight w:val="white"/>
                    </w:rPr>
                  </w:pPr>
                  <w:r>
                    <w:rPr>
                      <w:bCs/>
                      <w:color w:val="000000" w:themeColor="text1"/>
                      <w:sz w:val="24"/>
                      <w:szCs w:val="24"/>
                      <w:highlight w:val="white"/>
                    </w:rPr>
                  </w:r>
                </w:p>
              </w:tc>
            </w:tr>
          </w:tbl>
          <w:p>
            <w:pPr>
              <w:pStyle w:val="Normal"/>
              <w:widowControl w:val="false"/>
              <w:spacing w:lineRule="auto" w:line="240"/>
              <w:ind w:hanging="0"/>
              <w:rPr>
                <w:color w:val="000000" w:themeColor="text1"/>
                <w:sz w:val="24"/>
                <w:szCs w:val="24"/>
                <w:highlight w:val="white"/>
              </w:rPr>
            </w:pPr>
            <w:r>
              <w:rPr>
                <w:color w:val="000000" w:themeColor="text1"/>
                <w:sz w:val="24"/>
                <w:szCs w:val="24"/>
                <w:highlight w:val="white"/>
              </w:rPr>
            </w:r>
          </w:p>
        </w:tc>
      </w:tr>
    </w:tbl>
    <w:p>
      <w:pPr>
        <w:pStyle w:val="Normal"/>
        <w:tabs>
          <w:tab w:val="clear" w:pos="709"/>
          <w:tab w:val="left" w:pos="8280" w:leader="none"/>
        </w:tabs>
        <w:ind w:hanging="0"/>
        <w:rPr>
          <w:b/>
          <w:b/>
          <w:bCs/>
          <w:color w:val="000000" w:themeColor="text1"/>
          <w:sz w:val="24"/>
          <w:szCs w:val="24"/>
          <w:highlight w:val="white"/>
        </w:rPr>
      </w:pPr>
      <w:r>
        <w:rPr/>
      </w:r>
    </w:p>
    <w:sectPr>
      <w:headerReference w:type="default" r:id="rId6"/>
      <w:footnotePr>
        <w:numFmt w:val="decimal"/>
      </w:footnotePr>
      <w:type w:val="nextPage"/>
      <w:pgSz w:w="11906" w:h="16838"/>
      <w:pgMar w:left="1361" w:right="794" w:header="567" w:top="73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Arial">
    <w:charset w:val="01"/>
    <w:family w:val="swiss"/>
    <w:pitch w:val="variable"/>
  </w:font>
  <w:font w:name="Times New Roman">
    <w:charset w:val="01"/>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Style32"/>
        <w:rPr/>
      </w:pPr>
      <w:r>
        <w:rPr>
          <w:rStyle w:val="Style20"/>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3">
    <w:p>
      <w:pPr>
        <w:pStyle w:val="Style32"/>
        <w:rPr/>
      </w:pPr>
      <w:r>
        <w:rPr>
          <w:rStyle w:val="Style20"/>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p>
      <w:pPr>
        <w:pStyle w:val="Style32"/>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2345" w:hanging="360"/>
      </w:pPr>
      <w:rPr>
        <w:b/>
        <w:rFonts w:ascii="Times New Roman" w:hAnsi="Times New Roman" w:eastAsia="Times New Roman" w:cs="Times New Roman"/>
      </w:rPr>
    </w:lvl>
    <w:lvl w:ilvl="1">
      <w:start w:val="1"/>
      <w:numFmt w:val="decimal"/>
      <w:lvlText w:val="%1.%2."/>
      <w:lvlJc w:val="left"/>
      <w:pPr>
        <w:tabs>
          <w:tab w:val="num" w:pos="0"/>
        </w:tabs>
        <w:ind w:left="574" w:hanging="432"/>
      </w:pPr>
      <w:rPr>
        <w:sz w:val="24"/>
        <w:u w:val="none"/>
        <w:b w:val="false"/>
        <w:color w:val="000000"/>
      </w:rPr>
    </w:lvl>
    <w:lvl w:ilvl="2">
      <w:start w:val="1"/>
      <w:numFmt w:val="decimal"/>
      <w:lvlText w:val="%1.%2.%3."/>
      <w:lvlJc w:val="left"/>
      <w:pPr>
        <w:tabs>
          <w:tab w:val="num" w:pos="0"/>
        </w:tabs>
        <w:ind w:left="3340" w:hanging="504"/>
      </w:pPr>
      <w:rPr>
        <w:sz w:val="24"/>
        <w:b w:val="false"/>
        <w:szCs w:val="24"/>
        <w:color w:val="000000"/>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bullet"/>
      <w:lvlText w:val="–"/>
      <w:lvlJc w:val="left"/>
      <w:pPr>
        <w:tabs>
          <w:tab w:val="num" w:pos="0"/>
        </w:tabs>
        <w:ind w:left="1428" w:hanging="360"/>
      </w:pPr>
      <w:rPr>
        <w:rFonts w:ascii="Arial" w:hAnsi="Arial" w:cs="Arial" w:hint="default"/>
        <w:u w:val="none"/>
        <w:b w:val="false"/>
        <w:color w:val="auto"/>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Arial" w:hAnsi="Arial" w:cs="Arial" w:hint="default"/>
        <w:u w:val="none"/>
        <w:b w:val="false"/>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Times New Roman" w:hAnsi="Times New Roman" w:cs="Times New Roman" w:hint="default"/>
        <w:highlight w:val="cyan"/>
      </w:rPr>
    </w:lvl>
    <w:lvl w:ilvl="1">
      <w:start w:val="1"/>
      <w:numFmt w:val="bullet"/>
      <w:lvlText w:val="o"/>
      <w:lvlJc w:val="left"/>
      <w:pPr>
        <w:tabs>
          <w:tab w:val="num" w:pos="0"/>
        </w:tabs>
        <w:ind w:left="2149" w:hanging="360"/>
      </w:pPr>
      <w:rPr>
        <w:rFonts w:ascii="Courier New" w:hAnsi="Courier New" w:cs="Courier New" w:hint="default"/>
        <w:u w:val="none"/>
        <w:b w:val="false"/>
        <w:color w:val="auto"/>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9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1">
    <w:name w:val="Heading 1"/>
    <w:basedOn w:val="Normal"/>
    <w:next w:val="Normal"/>
    <w:qFormat/>
    <w:pPr>
      <w:keepNext w:val="true"/>
      <w:spacing w:before="240" w:after="60"/>
      <w:outlineLvl w:val="0"/>
    </w:pPr>
    <w:rPr>
      <w:rFonts w:ascii="Cambria" w:hAnsi="Cambria"/>
      <w:b/>
      <w:bCs/>
      <w:sz w:val="32"/>
      <w:szCs w:val="32"/>
    </w:rPr>
  </w:style>
  <w:style w:type="paragraph" w:styleId="2">
    <w:name w:val="Heading 2"/>
    <w:basedOn w:val="Normal"/>
    <w:next w:val="Normal"/>
    <w:qFormat/>
    <w:pPr>
      <w:keepNext w:val="true"/>
      <w:spacing w:before="240" w:after="60"/>
      <w:outlineLvl w:val="1"/>
    </w:pPr>
    <w:rPr>
      <w:rFonts w:ascii="Cambria" w:hAnsi="Cambria"/>
      <w:b/>
      <w:bCs/>
      <w:i/>
      <w:iCs/>
    </w:rPr>
  </w:style>
  <w:style w:type="paragraph" w:styleId="3">
    <w:name w:val="Heading 3"/>
    <w:basedOn w:val="Normal"/>
    <w:next w:val="Normal"/>
    <w:uiPriority w:val="9"/>
    <w:qFormat/>
    <w:pPr>
      <w:keepNext w:val="true"/>
      <w:spacing w:lineRule="auto" w:line="240" w:before="120" w:after="120"/>
      <w:ind w:hanging="0"/>
      <w:jc w:val="left"/>
      <w:outlineLvl w:val="2"/>
    </w:pPr>
    <w:rPr>
      <w:b/>
      <w:szCs w:val="20"/>
    </w:rPr>
  </w:style>
  <w:style w:type="paragraph" w:styleId="4">
    <w:name w:val="Heading 4"/>
    <w:basedOn w:val="Normal"/>
    <w:next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next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next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next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next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next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1" w:customStyle="1">
    <w:name w:val="Заголовок 4 Знак"/>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1" w:customStyle="1">
    <w:name w:val="Цитата 2 Знак"/>
    <w:uiPriority w:val="29"/>
    <w:qFormat/>
    <w:rPr>
      <w:i/>
    </w:rPr>
  </w:style>
  <w:style w:type="character" w:styleId="Style6" w:customStyle="1">
    <w:name w:val="Выделенная цитата Знак"/>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1" w:customStyle="1">
    <w:name w:val="Заголовок 1 Знак"/>
    <w:qFormat/>
    <w:rPr>
      <w:rFonts w:ascii="Cambria" w:hAnsi="Cambria" w:eastAsia="Times New Roman" w:cs="Times New Roman"/>
      <w:b/>
      <w:bCs/>
      <w:sz w:val="32"/>
      <w:szCs w:val="32"/>
    </w:rPr>
  </w:style>
  <w:style w:type="character" w:styleId="22" w:customStyle="1">
    <w:name w:val="Заголовок 2 Знак"/>
    <w:semiHidden/>
    <w:qFormat/>
    <w:rPr>
      <w:rFonts w:ascii="Cambria" w:hAnsi="Cambria" w:eastAsia="Times New Roman" w:cs="Times New Roman"/>
      <w:b/>
      <w:bCs/>
      <w:i/>
      <w:iCs/>
      <w:sz w:val="28"/>
      <w:szCs w:val="28"/>
    </w:rPr>
  </w:style>
  <w:style w:type="character" w:styleId="31" w:customStyle="1">
    <w:name w:val="Заголовок 3 Знак"/>
    <w:qFormat/>
    <w:rPr>
      <w:b/>
      <w:sz w:val="28"/>
    </w:rPr>
  </w:style>
  <w:style w:type="character" w:styleId="32" w:customStyle="1">
    <w:name w:val="Основной текст 3 Знак"/>
    <w:qFormat/>
    <w:rPr>
      <w:color w:val="0000FF"/>
      <w:sz w:val="24"/>
      <w:szCs w:val="24"/>
      <w:lang w:eastAsia="en-US"/>
    </w:rPr>
  </w:style>
  <w:style w:type="character" w:styleId="Style7" w:customStyle="1">
    <w:name w:val="Верхний колонтитул Знак"/>
    <w:basedOn w:val="DefaultParagraphFont"/>
    <w:uiPriority w:val="99"/>
    <w:qFormat/>
    <w:rPr>
      <w:sz w:val="28"/>
      <w:szCs w:val="28"/>
    </w:rPr>
  </w:style>
  <w:style w:type="character" w:styleId="Style8" w:customStyle="1">
    <w:name w:val="Текст сноски Знак"/>
    <w:uiPriority w:val="99"/>
    <w:qFormat/>
    <w:rPr/>
  </w:style>
  <w:style w:type="character" w:styleId="Style9" w:customStyle="1">
    <w:name w:val="Привязка сноски"/>
    <w:rPr>
      <w:vertAlign w:val="superscript"/>
    </w:rPr>
  </w:style>
  <w:style w:type="character" w:styleId="FootnoteCharacters" w:customStyle="1">
    <w:name w:val="Footnote Characters"/>
    <w:qFormat/>
    <w:rPr>
      <w:vertAlign w:val="superscript"/>
    </w:rPr>
  </w:style>
  <w:style w:type="character" w:styleId="12" w:customStyle="1">
    <w:name w:val="1. Статья Знак"/>
    <w:qFormat/>
    <w:rPr>
      <w:sz w:val="24"/>
      <w:szCs w:val="24"/>
    </w:rPr>
  </w:style>
  <w:style w:type="character" w:styleId="33" w:customStyle="1">
    <w:name w:val="3. Подпункт Знак"/>
    <w:qFormat/>
    <w:rPr>
      <w:b/>
      <w:bCs/>
      <w:sz w:val="24"/>
      <w:szCs w:val="24"/>
    </w:rPr>
  </w:style>
  <w:style w:type="character" w:styleId="Style10" w:customStyle="1">
    <w:name w:val="Текст выноски Знак"/>
    <w:qFormat/>
    <w:rPr>
      <w:rFonts w:ascii="Tahoma" w:hAnsi="Tahoma" w:cs="Tahoma"/>
      <w:sz w:val="16"/>
      <w:szCs w:val="16"/>
    </w:rPr>
  </w:style>
  <w:style w:type="character" w:styleId="42" w:customStyle="1">
    <w:name w:val="4. Отчерк Знак"/>
    <w:qFormat/>
    <w:rPr>
      <w:sz w:val="24"/>
      <w:szCs w:val="24"/>
    </w:rPr>
  </w:style>
  <w:style w:type="character" w:styleId="Annotationreference">
    <w:name w:val="annotation reference"/>
    <w:qFormat/>
    <w:rPr>
      <w:sz w:val="16"/>
      <w:szCs w:val="16"/>
    </w:rPr>
  </w:style>
  <w:style w:type="character" w:styleId="Style11" w:customStyle="1">
    <w:name w:val="Текст примечания Знак"/>
    <w:qFormat/>
    <w:rPr/>
  </w:style>
  <w:style w:type="character" w:styleId="Style12" w:customStyle="1">
    <w:name w:val="Тема примечания Знак"/>
    <w:qFormat/>
    <w:rPr>
      <w:b/>
      <w:bCs/>
    </w:rPr>
  </w:style>
  <w:style w:type="character" w:styleId="Style13" w:customStyle="1">
    <w:name w:val="Нижний колонтитул Знак"/>
    <w:uiPriority w:val="99"/>
    <w:qFormat/>
    <w:rPr>
      <w:sz w:val="28"/>
      <w:szCs w:val="28"/>
    </w:rPr>
  </w:style>
  <w:style w:type="character" w:styleId="Style14" w:customStyle="1">
    <w:name w:val="Заголовок Знак"/>
    <w:qFormat/>
    <w:rPr>
      <w:b/>
      <w:sz w:val="22"/>
      <w:szCs w:val="22"/>
      <w:shd w:fill="FFFFFF" w:val="clear"/>
    </w:rPr>
  </w:style>
  <w:style w:type="character" w:styleId="Style15"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16" w:customStyle="1">
    <w:name w:val="Интернет-ссылка"/>
    <w:uiPriority w:val="99"/>
    <w:unhideWhenUsed/>
    <w:rPr>
      <w:color w:val="0000FF"/>
      <w:u w:val="single"/>
    </w:rPr>
  </w:style>
  <w:style w:type="character" w:styleId="Style17" w:customStyle="1">
    <w:name w:val="Текст концевой сноски Знак"/>
    <w:uiPriority w:val="99"/>
    <w:semiHidden/>
    <w:qFormat/>
    <w:rPr/>
  </w:style>
  <w:style w:type="character" w:styleId="Style18" w:customStyle="1">
    <w:name w:val="Привязка концевой сноски"/>
    <w:rPr>
      <w:vertAlign w:val="superscript"/>
    </w:rPr>
  </w:style>
  <w:style w:type="character" w:styleId="EndnoteCharacters" w:customStyle="1">
    <w:name w:val="Endnote Characters"/>
    <w:uiPriority w:val="99"/>
    <w:semiHidden/>
    <w:unhideWhenUsed/>
    <w:qFormat/>
    <w:rPr>
      <w:vertAlign w:val="superscript"/>
    </w:rPr>
  </w:style>
  <w:style w:type="character" w:styleId="23" w:customStyle="1">
    <w:name w:val="Основной текст (2)_"/>
    <w:basedOn w:val="DefaultParagraphFont"/>
    <w:qFormat/>
    <w:rPr>
      <w:sz w:val="28"/>
      <w:szCs w:val="28"/>
      <w:shd w:fill="FFFFFF" w:val="clear"/>
    </w:rPr>
  </w:style>
  <w:style w:type="character" w:styleId="Style19" w:customStyle="1">
    <w:name w:val="Абзац списка Знак"/>
    <w:uiPriority w:val="34"/>
    <w:qFormat/>
    <w:rPr>
      <w:sz w:val="24"/>
      <w:szCs w:val="24"/>
    </w:rPr>
  </w:style>
  <w:style w:type="character" w:styleId="Style20" w:customStyle="1">
    <w:name w:val="Символ сноски"/>
    <w:qFormat/>
    <w:rPr/>
  </w:style>
  <w:style w:type="character" w:styleId="Style21" w:customStyle="1">
    <w:name w:val="Символ концевой сноски"/>
    <w:qFormat/>
    <w:rPr/>
  </w:style>
  <w:style w:type="paragraph" w:styleId="Style22">
    <w:name w:val="Заголовок"/>
    <w:basedOn w:val="Normal"/>
    <w:next w:val="Style23"/>
    <w:qFormat/>
    <w:pPr>
      <w:keepNext w:val="true"/>
      <w:spacing w:before="240" w:after="120"/>
    </w:pPr>
    <w:rPr>
      <w:rFonts w:ascii="Liberation Sans" w:hAnsi="Liberation Sans" w:eastAsia="Noto Sans CJK SC" w:cs="Arial Unicode MS"/>
      <w:sz w:val="28"/>
      <w:szCs w:val="28"/>
    </w:rPr>
  </w:style>
  <w:style w:type="paragraph" w:styleId="Style23">
    <w:name w:val="Body Text"/>
    <w:basedOn w:val="Normal"/>
    <w:pPr>
      <w:spacing w:before="0" w:after="120"/>
    </w:pPr>
    <w:rPr/>
  </w:style>
  <w:style w:type="paragraph" w:styleId="Style24">
    <w:name w:val="List"/>
    <w:basedOn w:val="Style23"/>
    <w:pPr/>
    <w:rPr/>
  </w:style>
  <w:style w:type="paragraph" w:styleId="Style25">
    <w:name w:val="Caption"/>
    <w:basedOn w:val="Normal"/>
    <w:qFormat/>
    <w:pPr>
      <w:suppressLineNumbers/>
      <w:spacing w:before="120" w:after="120"/>
    </w:pPr>
    <w:rPr>
      <w:rFonts w:cs="Arial Unicode MS"/>
      <w:i/>
      <w:iCs/>
      <w:sz w:val="24"/>
      <w:szCs w:val="24"/>
    </w:rPr>
  </w:style>
  <w:style w:type="paragraph" w:styleId="Style26">
    <w:name w:val="Указатель"/>
    <w:basedOn w:val="Normal"/>
    <w:qFormat/>
    <w:pPr>
      <w:suppressLineNumbers/>
    </w:pPr>
    <w:rPr>
      <w:rFonts w:cs="Arial Unicode MS"/>
    </w:rPr>
  </w:style>
  <w:style w:type="paragraph" w:styleId="Style27">
    <w:name w:val="Title"/>
    <w:basedOn w:val="Normal"/>
    <w:next w:val="Style23"/>
    <w:qFormat/>
    <w:pPr>
      <w:keepNext w:val="true"/>
      <w:spacing w:before="240" w:after="120"/>
    </w:pPr>
    <w:rPr>
      <w:rFonts w:ascii="Liberation Sans" w:hAnsi="Liberation Sans" w:eastAsia="Noto Sans CJK SC"/>
    </w:rPr>
  </w:style>
  <w:style w:type="paragraph" w:styleId="Caption">
    <w:name w:val="caption"/>
    <w:basedOn w:val="Normal"/>
    <w:next w:val="Normal"/>
    <w:qFormat/>
    <w:pPr>
      <w:widowControl w:val="false"/>
      <w:spacing w:lineRule="auto" w:line="240" w:before="120" w:after="120"/>
      <w:ind w:hanging="0"/>
    </w:pPr>
    <w:rPr>
      <w:b/>
      <w:bCs/>
      <w:sz w:val="24"/>
      <w:szCs w:val="24"/>
    </w:rPr>
  </w:style>
  <w:style w:type="paragraph" w:styleId="Indexheading">
    <w:name w:val="index heading"/>
    <w:basedOn w:val="Normal"/>
    <w:qFormat/>
    <w:pPr>
      <w:suppressLineNumbers/>
    </w:pPr>
    <w:rPr/>
  </w:style>
  <w:style w:type="paragraph" w:styleId="Style28">
    <w:name w:val="Subtitle"/>
    <w:basedOn w:val="Normal"/>
    <w:next w:val="Normal"/>
    <w:uiPriority w:val="11"/>
    <w:qFormat/>
    <w:pPr>
      <w:spacing w:before="200" w:after="200"/>
    </w:pPr>
    <w:rPr>
      <w:sz w:val="24"/>
      <w:szCs w:val="24"/>
    </w:rPr>
  </w:style>
  <w:style w:type="paragraph" w:styleId="Quote">
    <w:name w:val="Quote"/>
    <w:basedOn w:val="Normal"/>
    <w:next w:val="Normal"/>
    <w:uiPriority w:val="29"/>
    <w:qFormat/>
    <w:pPr>
      <w:ind w:left="720" w:right="720" w:firstLine="567"/>
    </w:pPr>
    <w:rPr>
      <w:i/>
    </w:rPr>
  </w:style>
  <w:style w:type="paragraph" w:styleId="IntenseQuote">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13">
    <w:name w:val="TOC 1"/>
    <w:basedOn w:val="Normal"/>
    <w:next w:val="Normal"/>
    <w:uiPriority w:val="39"/>
    <w:unhideWhenUsed/>
    <w:pPr>
      <w:spacing w:before="0" w:after="57"/>
      <w:ind w:hanging="0"/>
    </w:pPr>
    <w:rPr/>
  </w:style>
  <w:style w:type="paragraph" w:styleId="24">
    <w:name w:val="TOC 2"/>
    <w:basedOn w:val="Normal"/>
    <w:next w:val="Normal"/>
    <w:uiPriority w:val="39"/>
    <w:unhideWhenUsed/>
    <w:pPr>
      <w:spacing w:before="0" w:after="57"/>
      <w:ind w:left="283" w:hanging="0"/>
    </w:pPr>
    <w:rPr/>
  </w:style>
  <w:style w:type="paragraph" w:styleId="34">
    <w:name w:val="TOC 3"/>
    <w:basedOn w:val="Normal"/>
    <w:next w:val="Normal"/>
    <w:uiPriority w:val="39"/>
    <w:unhideWhenUsed/>
    <w:pPr>
      <w:spacing w:before="0" w:after="57"/>
      <w:ind w:left="567" w:hanging="0"/>
    </w:pPr>
    <w:rPr/>
  </w:style>
  <w:style w:type="paragraph" w:styleId="43">
    <w:name w:val="TOC 4"/>
    <w:basedOn w:val="Normal"/>
    <w:next w:val="Normal"/>
    <w:uiPriority w:val="39"/>
    <w:unhideWhenUsed/>
    <w:pPr>
      <w:spacing w:before="0" w:after="57"/>
      <w:ind w:left="850" w:hanging="0"/>
    </w:pPr>
    <w:rPr/>
  </w:style>
  <w:style w:type="paragraph" w:styleId="52">
    <w:name w:val="TOC 5"/>
    <w:basedOn w:val="Normal"/>
    <w:next w:val="Normal"/>
    <w:uiPriority w:val="39"/>
    <w:unhideWhenUsed/>
    <w:pPr>
      <w:spacing w:before="0" w:after="57"/>
      <w:ind w:left="1134" w:hanging="0"/>
    </w:pPr>
    <w:rPr/>
  </w:style>
  <w:style w:type="paragraph" w:styleId="62">
    <w:name w:val="TOC 6"/>
    <w:basedOn w:val="Normal"/>
    <w:next w:val="Normal"/>
    <w:uiPriority w:val="39"/>
    <w:unhideWhenUsed/>
    <w:pPr>
      <w:spacing w:before="0" w:after="57"/>
      <w:ind w:left="1417" w:hanging="0"/>
    </w:pPr>
    <w:rPr/>
  </w:style>
  <w:style w:type="paragraph" w:styleId="72">
    <w:name w:val="TOC 7"/>
    <w:basedOn w:val="Normal"/>
    <w:next w:val="Normal"/>
    <w:uiPriority w:val="39"/>
    <w:unhideWhenUsed/>
    <w:pPr>
      <w:spacing w:before="0" w:after="57"/>
      <w:ind w:left="1701" w:hanging="0"/>
    </w:pPr>
    <w:rPr/>
  </w:style>
  <w:style w:type="paragraph" w:styleId="82">
    <w:name w:val="TOC 8"/>
    <w:basedOn w:val="Normal"/>
    <w:next w:val="Normal"/>
    <w:uiPriority w:val="39"/>
    <w:unhideWhenUsed/>
    <w:pPr>
      <w:spacing w:before="0" w:after="57"/>
      <w:ind w:left="1984" w:hanging="0"/>
    </w:pPr>
    <w:rPr/>
  </w:style>
  <w:style w:type="paragraph" w:styleId="92">
    <w:name w:val="TOC 9"/>
    <w:basedOn w:val="Normal"/>
    <w:next w:val="Normal"/>
    <w:uiPriority w:val="39"/>
    <w:unhideWhenUsed/>
    <w:pPr>
      <w:spacing w:before="0" w:after="57"/>
      <w:ind w:left="2268" w:hanging="0"/>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29" w:customStyle="1">
    <w:name w:val="Колонтитул"/>
    <w:basedOn w:val="Normal"/>
    <w:qFormat/>
    <w:pPr/>
    <w:rPr/>
  </w:style>
  <w:style w:type="paragraph" w:styleId="Style30">
    <w:name w:val="Header"/>
    <w:basedOn w:val="Normal"/>
    <w:uiPriority w:val="99"/>
    <w:pPr>
      <w:tabs>
        <w:tab w:val="clear" w:pos="709"/>
        <w:tab w:val="center" w:pos="4677" w:leader="none"/>
        <w:tab w:val="right" w:pos="9355" w:leader="none"/>
      </w:tabs>
    </w:pPr>
    <w:rPr/>
  </w:style>
  <w:style w:type="paragraph" w:styleId="Style110"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31"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Style32">
    <w:name w:val="Footnote Text"/>
    <w:basedOn w:val="Normal"/>
    <w:qFormat/>
    <w:pPr/>
    <w:rPr>
      <w:sz w:val="20"/>
      <w:szCs w:val="20"/>
    </w:rPr>
  </w:style>
  <w:style w:type="paragraph" w:styleId="Style33"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5"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34"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35" w:customStyle="1">
    <w:name w:val="Пункт договора"/>
    <w:basedOn w:val="Normal"/>
    <w:qFormat/>
    <w:pPr>
      <w:widowControl w:val="false"/>
      <w:spacing w:lineRule="auto" w:line="240"/>
      <w:ind w:hanging="0"/>
    </w:pPr>
    <w:rPr>
      <w:rFonts w:ascii="Arial" w:hAnsi="Arial"/>
      <w:sz w:val="20"/>
      <w:szCs w:val="20"/>
    </w:rPr>
  </w:style>
  <w:style w:type="paragraph" w:styleId="Style36" w:customStyle="1">
    <w:name w:val="Подпункт договора"/>
    <w:basedOn w:val="Normal"/>
    <w:qFormat/>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4" w:customStyle="1">
    <w:name w:val="1. Статья"/>
    <w:basedOn w:val="3"/>
    <w:qFormat/>
    <w:pPr>
      <w:keepNext w:val="false"/>
      <w:widowControl w:val="false"/>
      <w:tabs>
        <w:tab w:val="clear" w:pos="709"/>
        <w:tab w:val="left" w:pos="2340" w:leader="none"/>
      </w:tabs>
      <w:spacing w:before="0" w:after="0"/>
      <w:ind w:right="1462" w:hanging="0"/>
      <w:jc w:val="center"/>
    </w:pPr>
    <w:rPr>
      <w:b w:val="false"/>
      <w:sz w:val="24"/>
      <w:szCs w:val="24"/>
    </w:rPr>
  </w:style>
  <w:style w:type="paragraph" w:styleId="26" w:customStyle="1">
    <w:name w:val="2. Пункт"/>
    <w:basedOn w:val="3"/>
    <w:qFormat/>
    <w:pPr>
      <w:keepNext w:val="false"/>
      <w:widowControl w:val="false"/>
      <w:tabs>
        <w:tab w:val="clear" w:pos="709"/>
        <w:tab w:val="left" w:pos="720" w:leader="none"/>
      </w:tabs>
      <w:spacing w:before="0" w:after="0"/>
      <w:ind w:left="720" w:hanging="360"/>
      <w:jc w:val="both"/>
    </w:pPr>
    <w:rPr>
      <w:b w:val="false"/>
      <w:sz w:val="24"/>
      <w:szCs w:val="24"/>
    </w:rPr>
  </w:style>
  <w:style w:type="paragraph" w:styleId="35" w:customStyle="1">
    <w:name w:val="3. Подпункт"/>
    <w:basedOn w:val="3"/>
    <w:qFormat/>
    <w:pPr>
      <w:keepNext w:val="false"/>
      <w:widowControl w:val="false"/>
      <w:tabs>
        <w:tab w:val="clear" w:pos="709"/>
        <w:tab w:val="left" w:pos="1620" w:leader="none"/>
        <w:tab w:val="left" w:pos="2085" w:leader="none"/>
      </w:tabs>
      <w:spacing w:before="0" w:after="0"/>
      <w:ind w:left="2085" w:hanging="1185"/>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4" w:customStyle="1">
    <w:name w:val="4. Отчерк"/>
    <w:basedOn w:val="Normal"/>
    <w:qFormat/>
    <w:pPr>
      <w:widowControl w:val="false"/>
      <w:numPr>
        <w:ilvl w:val="0"/>
        <w:numId w:val="1"/>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Style37">
    <w:name w:val="Footer"/>
    <w:basedOn w:val="Normal"/>
    <w:uiPriority w:val="99"/>
    <w:pPr>
      <w:tabs>
        <w:tab w:val="clear" w:pos="709"/>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15" w:customStyle="1">
    <w:name w:val="Заголовок1"/>
    <w:basedOn w:val="Normal"/>
    <w:qFormat/>
    <w:pPr>
      <w:widowControl w:val="false"/>
      <w:spacing w:lineRule="auto" w:line="240" w:before="0" w:after="120"/>
      <w:ind w:hanging="0"/>
      <w:jc w:val="center"/>
    </w:pPr>
    <w:rPr>
      <w:b/>
      <w:bCs/>
      <w:sz w:val="32"/>
      <w:szCs w:val="20"/>
    </w:rPr>
  </w:style>
  <w:style w:type="paragraph" w:styleId="Style38">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9"/>
        <w:tab w:val="left" w:pos="920" w:leader="none"/>
      </w:tabs>
      <w:spacing w:lineRule="auto" w:line="240" w:before="240" w:after="240"/>
      <w:ind w:left="704" w:hanging="504"/>
      <w:jc w:val="left"/>
      <w:outlineLvl w:val="1"/>
    </w:pPr>
    <w:rPr>
      <w:sz w:val="24"/>
      <w:szCs w:val="20"/>
    </w:rPr>
  </w:style>
  <w:style w:type="paragraph" w:styleId="16"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Style39" w:customStyle="1">
    <w:name w:val="Контракт-раздел"/>
    <w:basedOn w:val="Normal"/>
    <w:qFormat/>
    <w:pPr>
      <w:keepNext w:val="true"/>
      <w:keepLines/>
      <w:tabs>
        <w:tab w:val="clear" w:pos="709"/>
        <w:tab w:val="left" w:pos="0" w:leader="none"/>
        <w:tab w:val="left" w:pos="567" w:leader="none"/>
      </w:tabs>
      <w:spacing w:lineRule="auto" w:line="240" w:before="360" w:after="120"/>
      <w:jc w:val="center"/>
      <w:outlineLvl w:val="1"/>
    </w:pPr>
    <w:rPr>
      <w:b/>
      <w:bCs/>
      <w:caps/>
    </w:rPr>
  </w:style>
  <w:style w:type="paragraph" w:styleId="Style40" w:customStyle="1">
    <w:name w:val="Контракт-пункт"/>
    <w:basedOn w:val="Normal"/>
    <w:qFormat/>
    <w:pPr>
      <w:tabs>
        <w:tab w:val="clear" w:pos="709"/>
        <w:tab w:val="left" w:pos="851" w:leader="none"/>
      </w:tabs>
      <w:ind w:left="851" w:hanging="851"/>
    </w:pPr>
    <w:rPr/>
  </w:style>
  <w:style w:type="paragraph" w:styleId="Style41" w:customStyle="1">
    <w:name w:val="Контракт-подпункт"/>
    <w:basedOn w:val="Normal"/>
    <w:qFormat/>
    <w:pPr>
      <w:tabs>
        <w:tab w:val="clear" w:pos="709"/>
        <w:tab w:val="left" w:pos="851" w:leader="none"/>
      </w:tabs>
      <w:ind w:left="851" w:hanging="851"/>
    </w:pPr>
    <w:rPr/>
  </w:style>
  <w:style w:type="paragraph" w:styleId="Style42" w:customStyle="1">
    <w:name w:val="Контракт-подподпункт"/>
    <w:basedOn w:val="Normal"/>
    <w:qFormat/>
    <w:pPr>
      <w:tabs>
        <w:tab w:val="clear" w:pos="709"/>
        <w:tab w:val="left" w:pos="1418" w:leader="none"/>
      </w:tabs>
      <w:ind w:left="1418" w:hanging="567"/>
    </w:pPr>
    <w:rPr/>
  </w:style>
  <w:style w:type="paragraph" w:styleId="Style43">
    <w:name w:val="Endnote Text"/>
    <w:basedOn w:val="Normal"/>
    <w:uiPriority w:val="99"/>
    <w:semiHidden/>
    <w:unhideWhenUsed/>
    <w:pPr/>
    <w:rPr>
      <w:sz w:val="20"/>
      <w:szCs w:val="20"/>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01" w:customStyle="1">
    <w:name w:val="01_Текст общих данных"/>
    <w:basedOn w:val="Normal"/>
    <w:qFormat/>
    <w:pPr>
      <w:widowControl w:val="false"/>
      <w:tabs>
        <w:tab w:val="clear" w:pos="709"/>
        <w:tab w:val="left" w:pos="1985" w:leader="none"/>
      </w:tabs>
      <w:ind w:left="284" w:right="284" w:firstLine="709"/>
    </w:pPr>
    <w:rPr>
      <w:rFonts w:ascii="Arial" w:hAnsi="Arial"/>
      <w:sz w:val="24"/>
      <w:szCs w:val="20"/>
      <w:lang w:eastAsia="en-US"/>
    </w:rPr>
  </w:style>
  <w:style w:type="paragraph" w:styleId="27" w:customStyle="1">
    <w:name w:val="Основной текст (2)"/>
    <w:basedOn w:val="Normal"/>
    <w:qFormat/>
    <w:pPr>
      <w:widowControl w:val="false"/>
      <w:shd w:val="clear" w:color="auto" w:fill="FFFFFF"/>
      <w:spacing w:lineRule="exact" w:line="322"/>
      <w:ind w:hanging="1060"/>
      <w:jc w:val="center"/>
    </w:pPr>
    <w:rPr/>
  </w:style>
  <w:style w:type="paragraph" w:styleId="PlainText">
    <w:name w:val="Plain Text"/>
    <w:basedOn w:val="Normal"/>
    <w:qFormat/>
    <w:pPr>
      <w:spacing w:lineRule="auto" w:line="240"/>
      <w:ind w:hanging="0"/>
      <w:jc w:val="left"/>
    </w:pPr>
    <w:rPr>
      <w:rFonts w:ascii="Calibri" w:hAnsi="Calibri" w:eastAsia="Calibri" w:cs="Arial" w:cstheme="minorBidi" w:eastAsiaTheme="minorHAnsi"/>
      <w:sz w:val="22"/>
      <w:szCs w:val="21"/>
      <w:lang w:eastAsia="en-US"/>
    </w:rPr>
  </w:style>
  <w:style w:type="paragraph" w:styleId="Style44" w:customStyle="1">
    <w:name w:val="Содержимое таблицы"/>
    <w:basedOn w:val="Normal"/>
    <w:qFormat/>
    <w:pPr>
      <w:widowControl w:val="false"/>
      <w:suppressLineNumbers/>
    </w:pPr>
    <w:rPr/>
  </w:style>
  <w:style w:type="paragraph" w:styleId="Style45" w:customStyle="1">
    <w:name w:val="Заголовок таблицы"/>
    <w:basedOn w:val="Style44"/>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6">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9">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7">
    <w:name w:val="Plain Table 3"/>
    <w:basedOn w:val="a1"/>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44">
    <w:name w:val="Plain Table 4"/>
    <w:basedOn w:val="a1"/>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10">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000000"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4F81BD"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C0504D"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9BBB59"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8064A2"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4BACC6"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79646"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20">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0">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color w:val="404040"/>
      </w:rPr>
      <w:tblPr/>
      <w:tcPr>
        <w:tcBorders>
          <w:top w:val="single" w:color="4F81BD"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color w:val="404040"/>
      </w:rPr>
      <w:tblPr/>
      <w:tcPr>
        <w:tcBorders>
          <w:top w:val="single" w:color="C0504D"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color w:val="404040"/>
      </w:rPr>
      <w:tblPr/>
      <w:tcPr>
        <w:tcBorders>
          <w:top w:val="single" w:color="9B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color w:val="404040"/>
      </w:rPr>
      <w:tblPr/>
      <w:tcPr>
        <w:tcBorders>
          <w:top w:val="single" w:color="8064A2"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000000"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4F81B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C0504D"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B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8064A2"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7">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b/>
        <w:color w:val="A6BFDD" w:themeColor="accent1" w:themeTint="80"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val="A6BFDD" w:themeColor="accent1" w:themeTint="80"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b/>
        <w:color w:val="D99695"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b/>
        <w:color w:val="9ABB59" w:themeColor="accent3" w:themeTint="fe"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val="9ABB59" w:themeColor="accent3" w:themeTint="fe"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b/>
        <w:color w:val="B2A1C6"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b/>
        <w:color w:val="266779" w:themeColor="accent5"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val="266779" w:themeColor="accent5"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b/>
        <w:color w:val="B15407" w:themeColor="accent6"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val="B15407" w:themeColor="accent6"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11">
    <w:name w:val="List Table 1 Light"/>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1">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1">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0504D" w:themeColor="accent2" w:sz="4" w:space="0"/>
          <w:right w:val="single" w:color="C0504D" w:themeColor="accent2" w:sz="4" w:space="0"/>
        </w:tcBorders>
      </w:tcPr>
    </w:tblStylePr>
    <w:tblStylePr w:type="band1Horz">
      <w:rPr>
        <w:color w:val="404040"/>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BBB59" w:themeColor="accent3" w:sz="4" w:space="0"/>
          <w:right w:val="single" w:color="9BBB59" w:themeColor="accent3" w:sz="4" w:space="0"/>
        </w:tcBorders>
      </w:tcPr>
    </w:tblStylePr>
    <w:tblStylePr w:type="band1Horz">
      <w:rPr>
        <w:color w:val="404040"/>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8064A2" w:themeColor="accent4" w:sz="4" w:space="0"/>
          <w:right w:val="single" w:color="8064A2" w:themeColor="accent4" w:sz="4" w:space="0"/>
        </w:tcBorders>
      </w:tcPr>
    </w:tblStylePr>
    <w:tblStylePr w:type="band1Horz">
      <w:rPr>
        <w:color w:val="404040"/>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BACC6" w:themeColor="accent5" w:sz="4" w:space="0"/>
          <w:right w:val="single" w:color="4BACC6" w:themeColor="accent5" w:sz="4" w:space="0"/>
        </w:tcBorders>
      </w:tcPr>
    </w:tblStylePr>
    <w:tblStylePr w:type="band1Horz">
      <w:rPr>
        <w:color w:val="404040"/>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79646" w:themeColor="accent6" w:sz="4" w:space="0"/>
          <w:right w:val="single" w:color="F79646" w:themeColor="accent6" w:sz="4" w:space="0"/>
        </w:tcBorders>
      </w:tcPr>
    </w:tblStylePr>
    <w:tblStylePr w:type="band1Horz">
      <w:rPr>
        <w:color w:val="404040"/>
        <w:sz w:val="22"/>
      </w:rPr>
      <w:tblPr/>
      <w:tcPr>
        <w:tcBorders>
          <w:top w:val="single" w:color="F79646" w:themeColor="accent6" w:sz="4" w:space="0"/>
          <w:bottom w:val="single" w:color="F79646" w:themeColor="accent6" w:sz="4" w:space="0"/>
        </w:tcBorders>
      </w:tcPr>
    </w:tblStylePr>
  </w:style>
  <w:style w:type="table" w:styleId="-40">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60">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000000" w:themeColor="text1" w:sz="4" w:space="0"/>
        </w:tcBorders>
      </w:tcPr>
    </w:tblStylePr>
    <w:tblStylePr w:type="lastRow">
      <w:rPr>
        <w:b/>
        <w:color w:val="000000" w:themeColor="text1"/>
      </w:rPr>
      <w:tblPr/>
      <w:tcPr>
        <w:tcBorders>
          <w:top w:val="single" w:color="000000"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C0504D" w:themeColor="accent2" w:sz="4" w:space="0"/>
        </w:tcBorders>
      </w:tcPr>
    </w:tblStylePr>
    <w:tblStylePr w:type="lastRow">
      <w:rPr>
        <w:b/>
        <w:color w:val="D99695" w:themeColor="accent2" w:themeTint="97" w:themeShade="95"/>
      </w:rPr>
      <w:tblPr/>
      <w:tcPr>
        <w:tcBorders>
          <w:top w:val="single" w:color="C0504D"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9BBB59" w:themeColor="accent3" w:sz="4" w:space="0"/>
        </w:tcBorders>
      </w:tcPr>
    </w:tblStylePr>
    <w:tblStylePr w:type="lastRow">
      <w:rPr>
        <w:b/>
        <w:color w:val="C3D69B" w:themeColor="accent3" w:themeTint="98" w:themeShade="95"/>
      </w:rPr>
      <w:tblPr/>
      <w:tcPr>
        <w:tcBorders>
          <w:top w:val="single" w:color="9BBB59"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8064A2" w:themeColor="accent4" w:sz="4" w:space="0"/>
        </w:tcBorders>
      </w:tcPr>
    </w:tblStylePr>
    <w:tblStylePr w:type="lastRow">
      <w:rPr>
        <w:b/>
        <w:color w:val="B2A1C6" w:themeColor="accent4" w:themeTint="9a" w:themeShade="95"/>
      </w:rPr>
      <w:tblPr/>
      <w:tcPr>
        <w:tcBorders>
          <w:top w:val="single" w:color="8064A2"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4BACC6" w:themeColor="accent5" w:sz="4" w:space="0"/>
        </w:tcBorders>
      </w:tcPr>
    </w:tblStylePr>
    <w:tblStylePr w:type="lastRow">
      <w:rPr>
        <w:b/>
        <w:color w:val="92CCDC" w:themeColor="accent5" w:themeTint="9a" w:themeShade="95"/>
      </w:rPr>
      <w:tblPr/>
      <w:tcPr>
        <w:tcBorders>
          <w:top w:val="single" w:color="4BACC6"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79646" w:themeColor="accent6" w:sz="4" w:space="0"/>
        </w:tcBorders>
      </w:tcPr>
    </w:tblStylePr>
    <w:tblStylePr w:type="lastRow">
      <w:rPr>
        <w:b/>
        <w:color w:val="FAC090" w:themeColor="accent6" w:themeTint="98" w:themeShade="95"/>
      </w:rPr>
      <w:tblPr/>
      <w:tcPr>
        <w:tcBorders>
          <w:top w:val="single" w:color="F79646"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70">
    <w:name w:val="List Table 7 Colorful"/>
    <w:basedOn w:val="a1"/>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i/>
        <w:color w:val="D99695"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i/>
        <w:color w:val="C3D69B" w:themeColor="accent3" w:themeTint="98"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val="C3D69B" w:themeColor="accent3" w:themeTint="98"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i/>
        <w:color w:val="B2A1C6"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i/>
        <w:color w:val="92CCDC" w:themeColor="accent5" w:themeTint="9a"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val="92CCDC" w:themeColor="accent5" w:themeTint="9a"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i/>
        <w:color w:val="FAC090" w:themeColor="accent6" w:themeTint="98"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val="FAC090" w:themeColor="accent6" w:themeTint="98"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a1"/>
    <w:uiPriority w:val="99"/>
    <w:rPr>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1"/>
    <w:uiPriority w:val="99"/>
    <w:rPr>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000000" w:themeColor="text1" w:sz="12" w:space="0"/>
        </w:tcBorders>
      </w:tcPr>
    </w:tblStylePr>
    <w:tblStylePr w:type="lastRow">
      <w:rPr>
        <w:color w:val="404040"/>
        <w:sz w:val="22"/>
      </w:rPr>
      <w:tblPr/>
      <w:tcPr>
        <w:tcBorders>
          <w:top w:val="single" w:color="000000" w:themeColor="text1" w:sz="12" w:space="0"/>
        </w:tcBorders>
      </w:tcPr>
    </w:tblStylePr>
    <w:tblStylePr w:type="firstCol">
      <w:rPr>
        <w:color w:val="404040"/>
        <w:sz w:val="22"/>
      </w:rPr>
      <w:tblPr/>
    </w:tblStylePr>
    <w:tblStylePr w:type="lastCol">
      <w:rPr>
        <w:color w:val="404040"/>
        <w:sz w:val="22"/>
      </w:rPr>
      <w:tblPr/>
      <w:tcPr>
        <w:tcBorders>
          <w:left w:val="single" w:color="000000" w:themeColor="text1" w:sz="12" w:space="0"/>
        </w:tcBorders>
      </w:tc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C0504D" w:themeColor="accent2" w:sz="12" w:space="0"/>
        </w:tcBorders>
      </w:tcPr>
    </w:tblStylePr>
    <w:tblStylePr w:type="lastRow">
      <w:rPr>
        <w:color w:val="404040"/>
        <w:sz w:val="22"/>
      </w:rPr>
      <w:tblPr/>
      <w:tcPr>
        <w:tcBorders>
          <w:top w:val="single" w:color="C0504D" w:themeColor="accent2" w:sz="12" w:space="0"/>
        </w:tcBorders>
      </w:tcPr>
    </w:tblStylePr>
    <w:tblStylePr w:type="firstCol">
      <w:rPr>
        <w:color w:val="404040"/>
        <w:sz w:val="22"/>
      </w:rPr>
      <w:tblPr/>
    </w:tblStylePr>
    <w:tblStylePr w:type="lastCol">
      <w:rPr>
        <w:color w:val="404040"/>
        <w:sz w:val="22"/>
      </w:rPr>
      <w:tblPr/>
      <w:tcPr>
        <w:tcBorders>
          <w:left w:val="single" w:color="C0504D" w:themeColor="accent2" w:sz="12" w:space="0"/>
        </w:tcBorders>
      </w:tc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9BBB59" w:themeColor="accent3" w:sz="12" w:space="0"/>
        </w:tcBorders>
      </w:tcPr>
    </w:tblStylePr>
    <w:tblStylePr w:type="lastRow">
      <w:rPr>
        <w:color w:val="404040"/>
        <w:sz w:val="22"/>
      </w:rPr>
      <w:tblPr/>
      <w:tcPr>
        <w:tcBorders>
          <w:top w:val="single" w:color="9BBB59" w:themeColor="accent3" w:sz="12" w:space="0"/>
        </w:tcBorders>
      </w:tcPr>
    </w:tblStylePr>
    <w:tblStylePr w:type="firstCol">
      <w:rPr>
        <w:color w:val="404040"/>
        <w:sz w:val="22"/>
      </w:rPr>
      <w:tblPr/>
    </w:tblStylePr>
    <w:tblStylePr w:type="lastCol">
      <w:rPr>
        <w:color w:val="404040"/>
        <w:sz w:val="22"/>
      </w:rPr>
      <w:tblPr/>
      <w:tcPr>
        <w:tcBorders>
          <w:left w:val="single" w:color="9BBB59" w:themeColor="accent3" w:sz="12" w:space="0"/>
        </w:tcBorders>
      </w:tc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8064A2" w:themeColor="accent4" w:sz="12" w:space="0"/>
        </w:tcBorders>
      </w:tcPr>
    </w:tblStylePr>
    <w:tblStylePr w:type="lastRow">
      <w:rPr>
        <w:color w:val="404040"/>
        <w:sz w:val="22"/>
      </w:rPr>
      <w:tblPr/>
      <w:tcPr>
        <w:tcBorders>
          <w:top w:val="single" w:color="8064A2" w:themeColor="accent4" w:sz="12" w:space="0"/>
        </w:tcBorders>
      </w:tcPr>
    </w:tblStylePr>
    <w:tblStylePr w:type="firstCol">
      <w:rPr>
        <w:color w:val="404040"/>
        <w:sz w:val="22"/>
      </w:rPr>
      <w:tblPr/>
    </w:tblStylePr>
    <w:tblStylePr w:type="lastCol">
      <w:rPr>
        <w:color w:val="404040"/>
        <w:sz w:val="22"/>
      </w:rPr>
      <w:tblPr/>
      <w:tcPr>
        <w:tcBorders>
          <w:left w:val="single" w:color="8064A2" w:themeColor="accent4" w:sz="12" w:space="0"/>
        </w:tcBorders>
      </w:tc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4BACC6" w:themeColor="accent5" w:sz="12" w:space="0"/>
        </w:tcBorders>
      </w:tcPr>
    </w:tblStylePr>
    <w:tblStylePr w:type="lastRow">
      <w:rPr>
        <w:color w:val="404040"/>
        <w:sz w:val="22"/>
      </w:rPr>
      <w:tblPr/>
      <w:tcPr>
        <w:tcBorders>
          <w:top w:val="single" w:color="4BACC6" w:themeColor="accent5" w:sz="12" w:space="0"/>
        </w:tcBorders>
      </w:tcPr>
    </w:tblStylePr>
    <w:tblStylePr w:type="firstCol">
      <w:rPr>
        <w:color w:val="404040"/>
        <w:sz w:val="22"/>
      </w:rPr>
      <w:tblPr/>
    </w:tblStylePr>
    <w:tblStylePr w:type="lastCol">
      <w:rPr>
        <w:color w:val="404040"/>
        <w:sz w:val="22"/>
      </w:rPr>
      <w:tblPr/>
      <w:tcPr>
        <w:tcBorders>
          <w:left w:val="single" w:color="4BACC6" w:themeColor="accent5" w:sz="12" w:space="0"/>
        </w:tcBorders>
      </w:tc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79646" w:themeColor="accent6" w:sz="12" w:space="0"/>
        </w:tcBorders>
      </w:tcPr>
    </w:tblStylePr>
    <w:tblStylePr w:type="lastRow">
      <w:rPr>
        <w:color w:val="404040"/>
        <w:sz w:val="22"/>
      </w:rPr>
      <w:tblPr/>
      <w:tcPr>
        <w:tcBorders>
          <w:top w:val="single" w:color="F79646" w:themeColor="accent6" w:sz="12" w:space="0"/>
        </w:tcBorders>
      </w:tcPr>
    </w:tblStylePr>
    <w:tblStylePr w:type="firstCol">
      <w:rPr>
        <w:color w:val="404040"/>
        <w:sz w:val="22"/>
      </w:rPr>
      <w:tblPr/>
    </w:tblStylePr>
    <w:tblStylePr w:type="lastCol">
      <w:rPr>
        <w:color w:val="404040"/>
        <w:sz w:val="22"/>
      </w:rPr>
      <w:tblPr/>
      <w:tcPr>
        <w:tcBorders>
          <w:left w:val="single" w:color="F79646" w:themeColor="accent6" w:sz="12" w:space="0"/>
        </w:tcBorders>
      </w:tc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afff1">
    <w:name w:val="Table Grid"/>
    <w:basedOn w:val="a1"/>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7">
    <w:name w:val="Сетка таблицы1"/>
    <w:basedOn w:val="a1"/>
    <w:uiPriority w:val="59"/>
    <w:rPr>
      <w:rFonts w:asciiTheme="minorHAnsi" w:hAnsiTheme="minorHAnsi" w:eastAsiaTheme="minorHAnsi" w:cstheme="minorBidi"/>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a">
    <w:name w:val="Сетка таблицы2"/>
    <w:basedOn w:val="a1"/>
    <w:uiPriority w:val="59"/>
    <w:rPr>
      <w:rFonts w:asciiTheme="minorHAnsi" w:hAnsiTheme="minorHAnsi" w:eastAsiaTheme="minorHAnsi" w:cstheme="minorBidi"/>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6403B-07B6-4889-80F5-774A3B4ADA3D}">
  <ds:schemaRefs>
    <ds:schemaRef ds:uri="http://schemas.openxmlformats.org/officeDocument/2006/bibliography"/>
  </ds:schemaRefs>
</ds:datastoreItem>
</file>

<file path=customXml/itemProps2.xml><?xml version="1.0" encoding="utf-8"?>
<ds:datastoreItem xmlns:ds="http://schemas.openxmlformats.org/officeDocument/2006/customXml" ds:itemID="{03C11415-1909-4CD9-9F27-5FAE5337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Application>LibreOffice/7.1.8.1$Linux_X86_64 LibreOffice_project/10$Build-1</Application>
  <AppVersion>15.0000</AppVersion>
  <Pages>28</Pages>
  <Words>12606</Words>
  <Characters>90459</Characters>
  <CharactersWithSpaces>102941</CharactersWithSpaces>
  <Paragraphs>430</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2025-02-19T07:45:00Z</dcterms:created>
  <dc:creator>UK VoHEC</dc:creator>
  <dc:description/>
  <dc:language>ru-RU</dc:language>
  <cp:lastModifiedBy/>
  <dcterms:modified xsi:type="dcterms:W3CDTF">2026-07-23T14:26:36Z</dcterms:modified>
  <cp:revision>53</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